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48EC6D8F">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2BB3424" w14:textId="77777777" w:rsidR="007D3E58" w:rsidRDefault="007D3E58" w:rsidP="00DA57C8">
      <w:pPr>
        <w:rPr>
          <w:rFonts w:ascii="Calibri" w:hAnsi="Calibri" w:cs="Calibri"/>
          <w:sz w:val="28"/>
          <w:szCs w:val="28"/>
        </w:rPr>
      </w:pPr>
    </w:p>
    <w:p w14:paraId="484B5F4C" w14:textId="77777777" w:rsidR="0031398B" w:rsidRPr="00FE7286" w:rsidRDefault="0031398B" w:rsidP="0031398B">
      <w:pPr>
        <w:spacing w:line="252" w:lineRule="auto"/>
        <w:rPr>
          <w:rFonts w:ascii="Avenir Next LT Pro Light" w:hAnsi="Avenir Next LT Pro Light" w:cstheme="minorHAnsi"/>
          <w:b/>
          <w:bCs/>
          <w:sz w:val="22"/>
          <w:szCs w:val="22"/>
          <w:u w:val="single"/>
        </w:rPr>
      </w:pPr>
    </w:p>
    <w:p w14:paraId="70F11A20" w14:textId="7E31E104" w:rsidR="00005B30" w:rsidRPr="00FE7286" w:rsidRDefault="00005B30" w:rsidP="00DA57C8">
      <w:pPr>
        <w:rPr>
          <w:rFonts w:ascii="Avenir Next LT Pro Light" w:hAnsi="Avenir Next LT Pro Light" w:cs="Calibri"/>
          <w:sz w:val="22"/>
          <w:szCs w:val="22"/>
        </w:rPr>
      </w:pPr>
    </w:p>
    <w:p w14:paraId="4F486766" w14:textId="77777777"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To</w:t>
      </w:r>
      <w:proofErr w:type="gramStart"/>
      <w:r w:rsidRPr="005F7194">
        <w:rPr>
          <w:rFonts w:ascii="Avenir Next LT Pro Light" w:hAnsi="Avenir Next LT Pro Light"/>
          <w:sz w:val="22"/>
          <w:szCs w:val="22"/>
        </w:rPr>
        <w:t xml:space="preserve">: </w:t>
      </w:r>
      <w:r w:rsidRPr="005F7194">
        <w:rPr>
          <w:rFonts w:ascii="Avenir Next LT Pro Light" w:hAnsi="Avenir Next LT Pro Light"/>
          <w:sz w:val="22"/>
          <w:szCs w:val="22"/>
        </w:rPr>
        <w:tab/>
        <w:t>Maggie</w:t>
      </w:r>
      <w:proofErr w:type="gramEnd"/>
      <w:r w:rsidRPr="005F7194">
        <w:rPr>
          <w:rFonts w:ascii="Avenir Next LT Pro Light" w:hAnsi="Avenir Next LT Pro Light"/>
          <w:sz w:val="22"/>
          <w:szCs w:val="22"/>
        </w:rPr>
        <w:t xml:space="preserve"> Clapp, Director</w:t>
      </w:r>
    </w:p>
    <w:p w14:paraId="27B38BF3" w14:textId="77777777"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ab/>
        <w:t>Bila Louima, Deputy Director</w:t>
      </w:r>
    </w:p>
    <w:p w14:paraId="2E0C9F3A" w14:textId="77777777" w:rsidR="008A151F"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From:</w:t>
      </w:r>
      <w:r w:rsidRPr="005F7194">
        <w:rPr>
          <w:rFonts w:ascii="Avenir Next LT Pro Light" w:hAnsi="Avenir Next LT Pro Light"/>
          <w:sz w:val="22"/>
          <w:szCs w:val="22"/>
        </w:rPr>
        <w:tab/>
        <w:t>Shontelle A. Smith, Assistant Director</w:t>
      </w:r>
    </w:p>
    <w:p w14:paraId="35454585" w14:textId="77777777" w:rsidR="008A151F" w:rsidRPr="005F7194" w:rsidRDefault="008A151F" w:rsidP="008A151F">
      <w:pPr>
        <w:pStyle w:val="Default"/>
        <w:rPr>
          <w:rFonts w:ascii="Avenir Next LT Pro Light" w:hAnsi="Avenir Next LT Pro Light"/>
          <w:sz w:val="22"/>
          <w:szCs w:val="22"/>
        </w:rPr>
      </w:pPr>
      <w:r>
        <w:rPr>
          <w:rFonts w:ascii="Avenir Next LT Pro Light" w:hAnsi="Avenir Next LT Pro Light"/>
          <w:sz w:val="22"/>
          <w:szCs w:val="22"/>
        </w:rPr>
        <w:tab/>
        <w:t>Child and Family Services Division</w:t>
      </w:r>
    </w:p>
    <w:p w14:paraId="3D88C3CD" w14:textId="1B3D800B"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Date:</w:t>
      </w:r>
      <w:r w:rsidRPr="005F7194">
        <w:rPr>
          <w:rFonts w:ascii="Avenir Next LT Pro Light" w:hAnsi="Avenir Next LT Pro Light"/>
          <w:sz w:val="22"/>
          <w:szCs w:val="22"/>
        </w:rPr>
        <w:tab/>
        <w:t>Ju</w:t>
      </w:r>
      <w:r w:rsidR="009E3302">
        <w:rPr>
          <w:rFonts w:ascii="Avenir Next LT Pro Light" w:hAnsi="Avenir Next LT Pro Light"/>
          <w:sz w:val="22"/>
          <w:szCs w:val="22"/>
        </w:rPr>
        <w:t>ly 13, 2026</w:t>
      </w:r>
    </w:p>
    <w:p w14:paraId="42CC6A10" w14:textId="77777777" w:rsidR="008A151F" w:rsidRPr="005F7194" w:rsidRDefault="008A151F" w:rsidP="008A151F">
      <w:pPr>
        <w:pStyle w:val="Default"/>
        <w:rPr>
          <w:rFonts w:ascii="Avenir Next LT Pro Light" w:hAnsi="Avenir Next LT Pro Light"/>
          <w:sz w:val="22"/>
          <w:szCs w:val="22"/>
        </w:rPr>
      </w:pPr>
    </w:p>
    <w:p w14:paraId="370DB271" w14:textId="77777777" w:rsidR="008A151F" w:rsidRPr="005F7194" w:rsidRDefault="008A151F" w:rsidP="008A151F">
      <w:pPr>
        <w:pStyle w:val="Default"/>
        <w:rPr>
          <w:rFonts w:ascii="Avenir Next LT Pro Light" w:hAnsi="Avenir Next LT Pro Light"/>
          <w:sz w:val="22"/>
          <w:szCs w:val="22"/>
        </w:rPr>
      </w:pPr>
    </w:p>
    <w:p w14:paraId="652023DB" w14:textId="7B1CE47A" w:rsidR="00E530C8" w:rsidRDefault="00501FF5" w:rsidP="008A151F">
      <w:pPr>
        <w:rPr>
          <w:rFonts w:ascii="Avenir Next LT Pro Light" w:hAnsi="Avenir Next LT Pro Light" w:cs="72 Light"/>
          <w:sz w:val="22"/>
          <w:szCs w:val="22"/>
        </w:rPr>
      </w:pPr>
      <w:r w:rsidRPr="0062362F">
        <w:rPr>
          <w:rFonts w:ascii="Avenir Next LT Pro Light" w:hAnsi="Avenir Next LT Pro Light" w:cs="72 Light"/>
          <w:sz w:val="22"/>
          <w:szCs w:val="22"/>
        </w:rPr>
        <w:t>Child</w:t>
      </w:r>
      <w:r w:rsidR="00CE4A1E">
        <w:rPr>
          <w:rFonts w:ascii="Avenir Next LT Pro Light" w:hAnsi="Avenir Next LT Pro Light" w:cs="72 Light"/>
          <w:sz w:val="22"/>
          <w:szCs w:val="22"/>
        </w:rPr>
        <w:t xml:space="preserve"> Placement and Permanency Services</w:t>
      </w:r>
      <w:r w:rsidR="00196781" w:rsidRPr="0062362F">
        <w:rPr>
          <w:rFonts w:ascii="Avenir Next LT Pro Light" w:hAnsi="Avenir Next LT Pro Light" w:cs="72 Light"/>
          <w:sz w:val="22"/>
          <w:szCs w:val="22"/>
        </w:rPr>
        <w:t xml:space="preserve"> hosted the </w:t>
      </w:r>
      <w:r w:rsidR="00196781" w:rsidRPr="007F153D">
        <w:rPr>
          <w:rFonts w:ascii="Avenir Next LT Pro Light" w:hAnsi="Avenir Next LT Pro Light" w:cs="72 Light"/>
          <w:color w:val="2E74B5" w:themeColor="accent1" w:themeShade="BF"/>
          <w:sz w:val="22"/>
          <w:szCs w:val="22"/>
        </w:rPr>
        <w:t>1</w:t>
      </w:r>
      <w:r w:rsidR="00196781" w:rsidRPr="007F153D">
        <w:rPr>
          <w:rFonts w:ascii="Avenir Next LT Pro Light" w:hAnsi="Avenir Next LT Pro Light" w:cs="72 Light"/>
          <w:color w:val="2E74B5" w:themeColor="accent1" w:themeShade="BF"/>
          <w:sz w:val="22"/>
          <w:szCs w:val="22"/>
          <w:vertAlign w:val="superscript"/>
        </w:rPr>
        <w:t>st</w:t>
      </w:r>
      <w:r w:rsidR="00196781" w:rsidRPr="007F153D">
        <w:rPr>
          <w:rFonts w:ascii="Avenir Next LT Pro Light" w:hAnsi="Avenir Next LT Pro Light" w:cs="72 Light"/>
          <w:color w:val="2E74B5" w:themeColor="accent1" w:themeShade="BF"/>
          <w:sz w:val="22"/>
          <w:szCs w:val="22"/>
        </w:rPr>
        <w:t xml:space="preserve"> Annual Family Reunification Celebration</w:t>
      </w:r>
      <w:r w:rsidR="00CE4A1E">
        <w:rPr>
          <w:rFonts w:ascii="Avenir Next LT Pro Light" w:hAnsi="Avenir Next LT Pro Light" w:cs="72 Light"/>
          <w:color w:val="2E74B5" w:themeColor="accent1" w:themeShade="BF"/>
          <w:sz w:val="22"/>
          <w:szCs w:val="22"/>
        </w:rPr>
        <w:t xml:space="preserve"> </w:t>
      </w:r>
      <w:r w:rsidR="00CE4A1E" w:rsidRPr="00CE4A1E">
        <w:rPr>
          <w:rFonts w:ascii="Avenir Next LT Pro Light" w:hAnsi="Avenir Next LT Pro Light" w:cs="72 Light"/>
          <w:color w:val="000000" w:themeColor="text1"/>
          <w:sz w:val="22"/>
          <w:szCs w:val="22"/>
        </w:rPr>
        <w:t>on June 30</w:t>
      </w:r>
      <w:r w:rsidR="00CE4A1E" w:rsidRPr="00CE4A1E">
        <w:rPr>
          <w:rFonts w:ascii="Avenir Next LT Pro Light" w:hAnsi="Avenir Next LT Pro Light" w:cs="72 Light"/>
          <w:color w:val="000000" w:themeColor="text1"/>
          <w:sz w:val="22"/>
          <w:szCs w:val="22"/>
          <w:vertAlign w:val="superscript"/>
        </w:rPr>
        <w:t>th</w:t>
      </w:r>
      <w:r w:rsidR="00CE4A1E" w:rsidRPr="00CE4A1E">
        <w:rPr>
          <w:rFonts w:ascii="Avenir Next LT Pro Light" w:hAnsi="Avenir Next LT Pro Light" w:cs="72 Light"/>
          <w:color w:val="000000" w:themeColor="text1"/>
          <w:sz w:val="22"/>
          <w:szCs w:val="22"/>
        </w:rPr>
        <w:t xml:space="preserve"> </w:t>
      </w:r>
      <w:r w:rsidR="00196781" w:rsidRPr="0062362F">
        <w:rPr>
          <w:rFonts w:ascii="Avenir Next LT Pro Light" w:hAnsi="Avenir Next LT Pro Light" w:cs="72 Light"/>
          <w:sz w:val="22"/>
          <w:szCs w:val="22"/>
        </w:rPr>
        <w:t>at Frankie’s Fun Park to honor and celebrate the incredible journey of families who have been safely reunifi</w:t>
      </w:r>
      <w:r w:rsidR="0062362F" w:rsidRPr="0062362F">
        <w:rPr>
          <w:rFonts w:ascii="Avenir Next LT Pro Light" w:hAnsi="Avenir Next LT Pro Light" w:cs="72 Light"/>
          <w:sz w:val="22"/>
          <w:szCs w:val="22"/>
        </w:rPr>
        <w:t xml:space="preserve">ed. </w:t>
      </w:r>
    </w:p>
    <w:p w14:paraId="2B0FEC0C" w14:textId="77777777" w:rsidR="0062362F" w:rsidRDefault="0062362F" w:rsidP="008A151F">
      <w:pPr>
        <w:rPr>
          <w:rFonts w:ascii="Avenir Next LT Pro Light" w:hAnsi="Avenir Next LT Pro Light" w:cs="72 Light"/>
          <w:sz w:val="22"/>
          <w:szCs w:val="22"/>
        </w:rPr>
      </w:pPr>
    </w:p>
    <w:p w14:paraId="3BB98A65" w14:textId="5CEAD722" w:rsidR="0062362F" w:rsidRPr="0062362F" w:rsidRDefault="0062362F" w:rsidP="008A151F">
      <w:pPr>
        <w:rPr>
          <w:rFonts w:ascii="Avenir Next LT Pro Light" w:hAnsi="Avenir Next LT Pro Light" w:cs="72 Light"/>
          <w:sz w:val="22"/>
          <w:szCs w:val="22"/>
        </w:rPr>
      </w:pPr>
      <w:r>
        <w:rPr>
          <w:rFonts w:ascii="Avenir Next LT Pro Light" w:hAnsi="Avenir Next LT Pro Light" w:cs="72 Light"/>
          <w:sz w:val="22"/>
          <w:szCs w:val="22"/>
        </w:rPr>
        <w:t xml:space="preserve">This special event recognized the resilience of parents, the strength of children, and the dedication of everyone who worked together to achieve safe reunification.  Reunification </w:t>
      </w:r>
      <w:r w:rsidR="00D00AC1">
        <w:rPr>
          <w:rFonts w:ascii="Avenir Next LT Pro Light" w:hAnsi="Avenir Next LT Pro Light" w:cs="72 Light"/>
          <w:sz w:val="22"/>
          <w:szCs w:val="22"/>
        </w:rPr>
        <w:t>proves</w:t>
      </w:r>
      <w:r w:rsidR="009E6B02">
        <w:rPr>
          <w:rFonts w:ascii="Avenir Next LT Pro Light" w:hAnsi="Avenir Next LT Pro Light" w:cs="72 Light"/>
          <w:sz w:val="22"/>
          <w:szCs w:val="22"/>
        </w:rPr>
        <w:t xml:space="preserve"> families can overcome challenges when provided with support, resources</w:t>
      </w:r>
      <w:r w:rsidR="00D00AC1">
        <w:rPr>
          <w:rFonts w:ascii="Avenir Next LT Pro Light" w:hAnsi="Avenir Next LT Pro Light" w:cs="72 Light"/>
          <w:sz w:val="22"/>
          <w:szCs w:val="22"/>
        </w:rPr>
        <w:t xml:space="preserve">, and encouragement. </w:t>
      </w:r>
      <w:r w:rsidR="00842332">
        <w:rPr>
          <w:rFonts w:ascii="Avenir Next LT Pro Light" w:hAnsi="Avenir Next LT Pro Light" w:cs="72 Light"/>
          <w:sz w:val="22"/>
          <w:szCs w:val="22"/>
        </w:rPr>
        <w:t xml:space="preserve"> We </w:t>
      </w:r>
      <w:r w:rsidR="007044CE">
        <w:rPr>
          <w:rFonts w:ascii="Avenir Next LT Pro Light" w:hAnsi="Avenir Next LT Pro Light" w:cs="72 Light"/>
          <w:sz w:val="22"/>
          <w:szCs w:val="22"/>
        </w:rPr>
        <w:t xml:space="preserve">also </w:t>
      </w:r>
      <w:r w:rsidR="00B3483E">
        <w:rPr>
          <w:rFonts w:ascii="Avenir Next LT Pro Light" w:hAnsi="Avenir Next LT Pro Light" w:cs="72 Light"/>
          <w:sz w:val="22"/>
          <w:szCs w:val="22"/>
        </w:rPr>
        <w:t>acknowledge</w:t>
      </w:r>
      <w:r w:rsidR="007044CE">
        <w:rPr>
          <w:rFonts w:ascii="Avenir Next LT Pro Light" w:hAnsi="Avenir Next LT Pro Light" w:cs="72 Light"/>
          <w:sz w:val="22"/>
          <w:szCs w:val="22"/>
        </w:rPr>
        <w:t xml:space="preserve"> the courage it takes for parents to engage with the department during </w:t>
      </w:r>
      <w:r w:rsidR="005C2B81">
        <w:rPr>
          <w:rFonts w:ascii="Avenir Next LT Pro Light" w:hAnsi="Avenir Next LT Pro Light" w:cs="72 Light"/>
          <w:sz w:val="22"/>
          <w:szCs w:val="22"/>
        </w:rPr>
        <w:t xml:space="preserve">one of the most challenging times in their lives.  By embracing services, confronting obstacles, and remaining </w:t>
      </w:r>
      <w:r w:rsidR="0074156C">
        <w:rPr>
          <w:rFonts w:ascii="Avenir Next LT Pro Light" w:hAnsi="Avenir Next LT Pro Light" w:cs="72 Light"/>
          <w:sz w:val="22"/>
          <w:szCs w:val="22"/>
        </w:rPr>
        <w:t>committed to creating a safe and stable environment for their children, these parents</w:t>
      </w:r>
      <w:r w:rsidR="00BE1FEA">
        <w:rPr>
          <w:rFonts w:ascii="Avenir Next LT Pro Light" w:hAnsi="Avenir Next LT Pro Light" w:cs="72 Light"/>
          <w:sz w:val="22"/>
          <w:szCs w:val="22"/>
        </w:rPr>
        <w:t xml:space="preserve"> demonstrated resilience and determination</w:t>
      </w:r>
      <w:r w:rsidR="009748A0">
        <w:rPr>
          <w:rFonts w:ascii="Avenir Next LT Pro Light" w:hAnsi="Avenir Next LT Pro Light" w:cs="72 Light"/>
          <w:sz w:val="22"/>
          <w:szCs w:val="22"/>
        </w:rPr>
        <w:t>.  Their willingness to partner with our team is a powerful reminder that meaningful change is possible</w:t>
      </w:r>
      <w:r w:rsidR="00C87E3D">
        <w:rPr>
          <w:rFonts w:ascii="Avenir Next LT Pro Light" w:hAnsi="Avenir Next LT Pro Light" w:cs="72 Light"/>
          <w:sz w:val="22"/>
          <w:szCs w:val="22"/>
        </w:rPr>
        <w:t xml:space="preserve">, and together we can help children safely return home. </w:t>
      </w:r>
      <w:r w:rsidR="009748A0">
        <w:rPr>
          <w:rFonts w:ascii="Avenir Next LT Pro Light" w:hAnsi="Avenir Next LT Pro Light" w:cs="72 Light"/>
          <w:sz w:val="22"/>
          <w:szCs w:val="22"/>
        </w:rPr>
        <w:t xml:space="preserve"> </w:t>
      </w:r>
    </w:p>
    <w:p w14:paraId="30951242" w14:textId="77777777" w:rsidR="00221D77" w:rsidRDefault="00221D77" w:rsidP="008A151F">
      <w:pPr>
        <w:rPr>
          <w:rFonts w:ascii="Avenir Next LT Pro Light" w:hAnsi="Avenir Next LT Pro Light" w:cs="72 Light"/>
          <w:b/>
          <w:bCs/>
          <w:sz w:val="22"/>
          <w:szCs w:val="22"/>
        </w:rPr>
      </w:pPr>
    </w:p>
    <w:p w14:paraId="637B3D7E" w14:textId="4F8B5DAA" w:rsidR="008A151F" w:rsidRDefault="008A151F" w:rsidP="008A151F">
      <w:pPr>
        <w:rPr>
          <w:rFonts w:ascii="Avenir Next LT Pro Light" w:hAnsi="Avenir Next LT Pro Light" w:cs="72 Light"/>
          <w:b/>
          <w:bCs/>
          <w:sz w:val="22"/>
          <w:szCs w:val="22"/>
        </w:rPr>
      </w:pPr>
      <w:r w:rsidRPr="005F7194">
        <w:rPr>
          <w:rFonts w:ascii="Avenir Next LT Pro Light" w:hAnsi="Avenir Next LT Pro Light" w:cs="72 Light"/>
          <w:b/>
          <w:bCs/>
          <w:sz w:val="22"/>
          <w:szCs w:val="22"/>
        </w:rPr>
        <w:t>CPS Investigations/Assessments:</w:t>
      </w:r>
    </w:p>
    <w:p w14:paraId="5C6650EB" w14:textId="77777777" w:rsidR="005839D9" w:rsidRPr="005F7194" w:rsidRDefault="005839D9" w:rsidP="008A151F">
      <w:pPr>
        <w:rPr>
          <w:rFonts w:ascii="Avenir Next LT Pro Light" w:hAnsi="Avenir Next LT Pro Light" w:cs="72 Light"/>
          <w:b/>
          <w:bCs/>
          <w:sz w:val="22"/>
          <w:szCs w:val="22"/>
        </w:rPr>
      </w:pPr>
    </w:p>
    <w:tbl>
      <w:tblPr>
        <w:tblStyle w:val="TableGrid"/>
        <w:tblW w:w="0" w:type="auto"/>
        <w:tblLook w:val="04A0" w:firstRow="1" w:lastRow="0" w:firstColumn="1" w:lastColumn="0" w:noHBand="0" w:noVBand="1"/>
      </w:tblPr>
      <w:tblGrid>
        <w:gridCol w:w="3440"/>
        <w:gridCol w:w="469"/>
      </w:tblGrid>
      <w:tr w:rsidR="008A151F" w:rsidRPr="005F7194" w14:paraId="2A288A15"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09F2E6B7"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Family Assessments</w:t>
            </w:r>
          </w:p>
        </w:tc>
        <w:tc>
          <w:tcPr>
            <w:tcW w:w="0" w:type="auto"/>
            <w:tcBorders>
              <w:top w:val="single" w:sz="4" w:space="0" w:color="auto"/>
              <w:left w:val="single" w:sz="4" w:space="0" w:color="auto"/>
              <w:bottom w:val="single" w:sz="4" w:space="0" w:color="auto"/>
              <w:right w:val="single" w:sz="4" w:space="0" w:color="auto"/>
            </w:tcBorders>
            <w:hideMark/>
          </w:tcPr>
          <w:p w14:paraId="4689A916" w14:textId="5D511D0D"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8</w:t>
            </w:r>
            <w:r w:rsidR="009E3302">
              <w:rPr>
                <w:rFonts w:ascii="Avenir Next LT Pro Light" w:hAnsi="Avenir Next LT Pro Light" w:cs="72 Light"/>
                <w:sz w:val="22"/>
                <w:szCs w:val="22"/>
              </w:rPr>
              <w:t>1</w:t>
            </w:r>
          </w:p>
        </w:tc>
      </w:tr>
      <w:tr w:rsidR="008A151F" w:rsidRPr="005F7194" w14:paraId="1E0237CF"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70462057"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Investigations</w:t>
            </w:r>
          </w:p>
        </w:tc>
        <w:tc>
          <w:tcPr>
            <w:tcW w:w="0" w:type="auto"/>
            <w:tcBorders>
              <w:top w:val="single" w:sz="4" w:space="0" w:color="auto"/>
              <w:left w:val="single" w:sz="4" w:space="0" w:color="auto"/>
              <w:bottom w:val="single" w:sz="4" w:space="0" w:color="auto"/>
              <w:right w:val="single" w:sz="4" w:space="0" w:color="auto"/>
            </w:tcBorders>
            <w:hideMark/>
          </w:tcPr>
          <w:p w14:paraId="4D53AC34" w14:textId="6A13AAC9" w:rsidR="008A151F" w:rsidRPr="005F7194" w:rsidRDefault="009E3302" w:rsidP="00A4204A">
            <w:pPr>
              <w:rPr>
                <w:rFonts w:ascii="Avenir Next LT Pro Light" w:hAnsi="Avenir Next LT Pro Light" w:cs="72 Light"/>
                <w:sz w:val="22"/>
                <w:szCs w:val="22"/>
              </w:rPr>
            </w:pPr>
            <w:r>
              <w:rPr>
                <w:rFonts w:ascii="Avenir Next LT Pro Light" w:hAnsi="Avenir Next LT Pro Light" w:cs="72 Light"/>
                <w:sz w:val="22"/>
                <w:szCs w:val="22"/>
              </w:rPr>
              <w:t>47</w:t>
            </w:r>
          </w:p>
        </w:tc>
      </w:tr>
      <w:tr w:rsidR="008A151F" w:rsidRPr="005F7194" w14:paraId="4BBB75B4"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5623CFC6"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New Allegations on Open Cases</w:t>
            </w:r>
          </w:p>
        </w:tc>
        <w:tc>
          <w:tcPr>
            <w:tcW w:w="0" w:type="auto"/>
            <w:tcBorders>
              <w:top w:val="single" w:sz="4" w:space="0" w:color="auto"/>
              <w:left w:val="single" w:sz="4" w:space="0" w:color="auto"/>
              <w:bottom w:val="single" w:sz="4" w:space="0" w:color="auto"/>
              <w:right w:val="single" w:sz="4" w:space="0" w:color="auto"/>
            </w:tcBorders>
            <w:hideMark/>
          </w:tcPr>
          <w:p w14:paraId="36E6B506" w14:textId="1097A661" w:rsidR="008A151F" w:rsidRPr="005F7194" w:rsidRDefault="00142329" w:rsidP="00A4204A">
            <w:pPr>
              <w:rPr>
                <w:rFonts w:ascii="Avenir Next LT Pro Light" w:hAnsi="Avenir Next LT Pro Light" w:cs="72 Light"/>
                <w:sz w:val="22"/>
                <w:szCs w:val="22"/>
              </w:rPr>
            </w:pPr>
            <w:r>
              <w:rPr>
                <w:rFonts w:ascii="Avenir Next LT Pro Light" w:hAnsi="Avenir Next LT Pro Light" w:cs="72 Light"/>
                <w:sz w:val="22"/>
                <w:szCs w:val="22"/>
              </w:rPr>
              <w:t>16</w:t>
            </w:r>
          </w:p>
        </w:tc>
      </w:tr>
      <w:tr w:rsidR="008A151F" w:rsidRPr="005F7194" w14:paraId="6EBE5A3A"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719F6204"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Screen Outs</w:t>
            </w:r>
          </w:p>
        </w:tc>
        <w:tc>
          <w:tcPr>
            <w:tcW w:w="0" w:type="auto"/>
            <w:tcBorders>
              <w:top w:val="single" w:sz="4" w:space="0" w:color="auto"/>
              <w:left w:val="single" w:sz="4" w:space="0" w:color="auto"/>
              <w:bottom w:val="single" w:sz="4" w:space="0" w:color="auto"/>
              <w:right w:val="single" w:sz="4" w:space="0" w:color="auto"/>
            </w:tcBorders>
            <w:hideMark/>
          </w:tcPr>
          <w:p w14:paraId="0A801550" w14:textId="4D82B595" w:rsidR="008A151F" w:rsidRPr="005F7194" w:rsidRDefault="00142329" w:rsidP="00A4204A">
            <w:pPr>
              <w:rPr>
                <w:rFonts w:ascii="Avenir Next LT Pro Light" w:hAnsi="Avenir Next LT Pro Light" w:cs="72 Light"/>
                <w:sz w:val="22"/>
                <w:szCs w:val="22"/>
              </w:rPr>
            </w:pPr>
            <w:r>
              <w:rPr>
                <w:rFonts w:ascii="Avenir Next LT Pro Light" w:hAnsi="Avenir Next LT Pro Light" w:cs="72 Light"/>
                <w:sz w:val="22"/>
                <w:szCs w:val="22"/>
              </w:rPr>
              <w:t>58</w:t>
            </w:r>
          </w:p>
        </w:tc>
      </w:tr>
    </w:tbl>
    <w:p w14:paraId="006B6CC8" w14:textId="77777777" w:rsidR="008A151F" w:rsidRDefault="008A151F" w:rsidP="008A151F">
      <w:pPr>
        <w:spacing w:after="200" w:line="276" w:lineRule="auto"/>
        <w:rPr>
          <w:rFonts w:ascii="Avenir Next LT Pro Light" w:hAnsi="Avenir Next LT Pro Light"/>
          <w:b/>
          <w:bCs/>
          <w:sz w:val="22"/>
          <w:szCs w:val="22"/>
        </w:rPr>
      </w:pPr>
    </w:p>
    <w:p w14:paraId="149F77F6" w14:textId="77777777" w:rsidR="00250519" w:rsidRPr="005F3204" w:rsidRDefault="00250519" w:rsidP="00250519">
      <w:pPr>
        <w:rPr>
          <w:rFonts w:ascii="Avenir Next LT Pro Light" w:hAnsi="Avenir Next LT Pro Light"/>
          <w:b/>
          <w:bCs/>
          <w:sz w:val="22"/>
          <w:szCs w:val="22"/>
        </w:rPr>
      </w:pPr>
      <w:r w:rsidRPr="005F3204">
        <w:rPr>
          <w:rFonts w:ascii="Avenir Next LT Pro Light" w:hAnsi="Avenir Next LT Pro Light"/>
          <w:b/>
          <w:bCs/>
          <w:sz w:val="22"/>
          <w:szCs w:val="22"/>
        </w:rPr>
        <w:t>CPS Intake &amp; Collaborative Services:</w:t>
      </w:r>
    </w:p>
    <w:p w14:paraId="44C9CA32" w14:textId="77777777" w:rsidR="00250519" w:rsidRPr="005F3204" w:rsidRDefault="00250519" w:rsidP="00250519">
      <w:pPr>
        <w:rPr>
          <w:rFonts w:ascii="Avenir Next LT Pro Light" w:hAnsi="Avenir Next LT Pro Light"/>
          <w:b/>
          <w:bCs/>
          <w:sz w:val="22"/>
          <w:szCs w:val="22"/>
        </w:rPr>
      </w:pPr>
    </w:p>
    <w:p w14:paraId="0C5EB1FD" w14:textId="77777777" w:rsidR="00250519" w:rsidRPr="005F3204" w:rsidRDefault="00250519" w:rsidP="00250519">
      <w:pPr>
        <w:pStyle w:val="ListParagraph"/>
        <w:numPr>
          <w:ilvl w:val="0"/>
          <w:numId w:val="11"/>
        </w:numPr>
        <w:rPr>
          <w:rFonts w:ascii="Avenir Next LT Pro Light" w:eastAsia="Aptos" w:hAnsi="Avenir Next LT Pro Light" w:cstheme="minorHAnsi"/>
          <w:b/>
          <w:bCs/>
        </w:rPr>
      </w:pPr>
      <w:r w:rsidRPr="005F3204">
        <w:rPr>
          <w:rFonts w:ascii="Avenir Next LT Pro Light" w:eastAsia="Aptos" w:hAnsi="Avenir Next LT Pro Light" w:cstheme="minorHAnsi"/>
          <w:b/>
          <w:bCs/>
        </w:rPr>
        <w:t>Resource Parent Recruitment Activities</w:t>
      </w:r>
    </w:p>
    <w:p w14:paraId="27DEF7E0" w14:textId="618D65DE" w:rsidR="00250519" w:rsidRPr="005F3204" w:rsidRDefault="00250519" w:rsidP="00250519">
      <w:pPr>
        <w:pStyle w:val="ListParagraph"/>
        <w:numPr>
          <w:ilvl w:val="1"/>
          <w:numId w:val="11"/>
        </w:numPr>
        <w:rPr>
          <w:rFonts w:ascii="Avenir Next LT Pro Light" w:eastAsia="Aptos" w:hAnsi="Avenir Next LT Pro Light" w:cstheme="minorHAnsi"/>
        </w:rPr>
      </w:pPr>
      <w:r w:rsidRPr="005F3204">
        <w:rPr>
          <w:rFonts w:ascii="Avenir Next LT Pro Light" w:eastAsia="Aptos" w:hAnsi="Avenir Next LT Pro Light" w:cstheme="minorHAnsi"/>
        </w:rPr>
        <w:t>Upcoming Recruitment events</w:t>
      </w:r>
    </w:p>
    <w:p w14:paraId="4C96ECF1" w14:textId="5B0052C1" w:rsidR="00250519" w:rsidRPr="005F3204" w:rsidRDefault="00250519" w:rsidP="00250519">
      <w:pPr>
        <w:pStyle w:val="ListParagraph"/>
        <w:numPr>
          <w:ilvl w:val="1"/>
          <w:numId w:val="11"/>
        </w:numPr>
        <w:rPr>
          <w:rFonts w:ascii="Avenir Next LT Pro Light" w:eastAsia="Aptos" w:hAnsi="Avenir Next LT Pro Light" w:cstheme="minorHAnsi"/>
        </w:rPr>
      </w:pPr>
      <w:r w:rsidRPr="005F3204">
        <w:rPr>
          <w:rFonts w:ascii="Avenir Next LT Pro Light" w:eastAsia="Aptos" w:hAnsi="Avenir Next LT Pro Light" w:cstheme="minorHAnsi"/>
        </w:rPr>
        <w:t xml:space="preserve">Upcoming NTDC interest session </w:t>
      </w:r>
      <w:r w:rsidR="00DA7D5C">
        <w:rPr>
          <w:rFonts w:ascii="Avenir Next LT Pro Light" w:eastAsia="Aptos" w:hAnsi="Avenir Next LT Pro Light" w:cstheme="minorHAnsi"/>
        </w:rPr>
        <w:t>meeting</w:t>
      </w:r>
    </w:p>
    <w:p w14:paraId="550CB1D1" w14:textId="3C38C3B4" w:rsidR="00250519" w:rsidRPr="00DA7D5C" w:rsidRDefault="00250519" w:rsidP="00DA7D5C">
      <w:pPr>
        <w:ind w:left="1080"/>
        <w:rPr>
          <w:rFonts w:ascii="Avenir Next LT Pro Light" w:eastAsia="Aptos" w:hAnsi="Avenir Next LT Pro Light" w:cstheme="minorHAnsi"/>
        </w:rPr>
      </w:pPr>
    </w:p>
    <w:p w14:paraId="630E77B7" w14:textId="77777777" w:rsidR="00250519" w:rsidRPr="005F3204" w:rsidRDefault="00250519" w:rsidP="00250519">
      <w:pPr>
        <w:pStyle w:val="ListParagraph"/>
        <w:ind w:left="1440"/>
        <w:rPr>
          <w:rFonts w:ascii="Avenir Next LT Pro Light" w:eastAsia="Aptos" w:hAnsi="Avenir Next LT Pro Light" w:cstheme="minorHAnsi"/>
        </w:rPr>
      </w:pPr>
    </w:p>
    <w:p w14:paraId="3D138AB0" w14:textId="77777777" w:rsidR="00250519" w:rsidRPr="005F3204" w:rsidRDefault="00250519" w:rsidP="00250519">
      <w:pPr>
        <w:pStyle w:val="ListParagraph"/>
        <w:numPr>
          <w:ilvl w:val="0"/>
          <w:numId w:val="11"/>
        </w:numPr>
        <w:rPr>
          <w:rFonts w:ascii="Avenir Next LT Pro Light" w:eastAsia="Aptos" w:hAnsi="Avenir Next LT Pro Light" w:cstheme="minorHAnsi"/>
        </w:rPr>
      </w:pPr>
      <w:r w:rsidRPr="005F3204">
        <w:rPr>
          <w:rFonts w:ascii="Avenir Next LT Pro Light" w:eastAsia="Aptos" w:hAnsi="Avenir Next LT Pro Light" w:cstheme="minorHAnsi"/>
          <w:b/>
          <w:bCs/>
        </w:rPr>
        <w:lastRenderedPageBreak/>
        <w:t>Fatherhood Initiative:</w:t>
      </w:r>
    </w:p>
    <w:p w14:paraId="31BC484C" w14:textId="77777777" w:rsidR="00250519" w:rsidRPr="005F3204" w:rsidRDefault="00250519" w:rsidP="00250519">
      <w:pPr>
        <w:pStyle w:val="ListParagraph"/>
        <w:numPr>
          <w:ilvl w:val="1"/>
          <w:numId w:val="11"/>
        </w:numPr>
        <w:rPr>
          <w:rFonts w:ascii="Avenir Next LT Pro Light" w:eastAsia="Aptos" w:hAnsi="Avenir Next LT Pro Light" w:cstheme="minorHAnsi"/>
        </w:rPr>
      </w:pPr>
      <w:r w:rsidRPr="005F3204">
        <w:rPr>
          <w:rFonts w:ascii="Avenir Next LT Pro Light" w:hAnsi="Avenir Next LT Pro Light"/>
        </w:rPr>
        <w:t>The Fatherhood Initiative launch event was held on June 22</w:t>
      </w:r>
      <w:r w:rsidRPr="005F3204">
        <w:rPr>
          <w:rFonts w:ascii="Avenir Next LT Pro Light" w:hAnsi="Avenir Next LT Pro Light"/>
          <w:vertAlign w:val="superscript"/>
        </w:rPr>
        <w:t>nd</w:t>
      </w:r>
      <w:r w:rsidRPr="005F3204">
        <w:rPr>
          <w:rFonts w:ascii="Avenir Next LT Pro Light" w:hAnsi="Avenir Next LT Pro Light"/>
        </w:rPr>
        <w:t xml:space="preserve"> and it brought together fathers to share their lived experiences, identify barriers to engagement, and provide feedback on resources and </w:t>
      </w:r>
      <w:proofErr w:type="gramStart"/>
      <w:r w:rsidRPr="005F3204">
        <w:rPr>
          <w:rFonts w:ascii="Avenir Next LT Pro Light" w:hAnsi="Avenir Next LT Pro Light"/>
        </w:rPr>
        <w:t>supports</w:t>
      </w:r>
      <w:proofErr w:type="gramEnd"/>
      <w:r w:rsidRPr="005F3204">
        <w:rPr>
          <w:rFonts w:ascii="Avenir Next LT Pro Light" w:hAnsi="Avenir Next LT Pro Light"/>
        </w:rPr>
        <w:t xml:space="preserve"> that would strengthen their role within their families. The event served as an important first step in establishing a collaborative and</w:t>
      </w:r>
      <w:r w:rsidRPr="005F3204">
        <w:rPr>
          <w:rFonts w:ascii="Avenir Next LT Pro Light" w:hAnsi="Avenir Next LT Pro Light"/>
          <w:sz w:val="24"/>
          <w:szCs w:val="24"/>
        </w:rPr>
        <w:t xml:space="preserve"> </w:t>
      </w:r>
      <w:r w:rsidRPr="005F3204">
        <w:rPr>
          <w:rFonts w:ascii="Avenir Next LT Pro Light" w:hAnsi="Avenir Next LT Pro Light"/>
        </w:rPr>
        <w:t>responsive Fatherhood Initiative. Feedback received will help inform future programming and service delivery as The Department continues to develop strategies that better support fathers and promote positive outcomes for children and families in Durham County.</w:t>
      </w:r>
    </w:p>
    <w:p w14:paraId="1F2E5498" w14:textId="77777777" w:rsidR="00250519" w:rsidRPr="005F3204" w:rsidRDefault="00250519" w:rsidP="00250519">
      <w:pPr>
        <w:pStyle w:val="ListParagraph"/>
        <w:numPr>
          <w:ilvl w:val="1"/>
          <w:numId w:val="11"/>
        </w:numPr>
        <w:rPr>
          <w:rFonts w:ascii="Avenir Next LT Pro Light" w:eastAsia="Aptos" w:hAnsi="Avenir Next LT Pro Light" w:cstheme="minorHAnsi"/>
        </w:rPr>
      </w:pPr>
      <w:r w:rsidRPr="005F3204">
        <w:rPr>
          <w:rFonts w:ascii="Avenir Next LT Pro Light" w:hAnsi="Avenir Next LT Pro Light"/>
        </w:rPr>
        <w:t>Staff attended the North Carolina Fatherhood Conference in June, where they gained valuable knowledge, collected evidence-informed resources, and established connections with agencies across the state that have successful fatherhood engagement programs. The conference provided opportunities to identify best practices and explore partnerships that can strengthen Durham County's Fatherhood Initiative.</w:t>
      </w:r>
    </w:p>
    <w:p w14:paraId="4F6FFB8C" w14:textId="77777777" w:rsidR="00250519" w:rsidRPr="005F3204" w:rsidRDefault="00250519" w:rsidP="00250519">
      <w:pPr>
        <w:pStyle w:val="ListParagraph"/>
        <w:numPr>
          <w:ilvl w:val="1"/>
          <w:numId w:val="11"/>
        </w:numPr>
        <w:rPr>
          <w:rFonts w:ascii="Avenir Next LT Pro Light" w:eastAsia="Aptos" w:hAnsi="Avenir Next LT Pro Light" w:cstheme="minorHAnsi"/>
        </w:rPr>
      </w:pPr>
      <w:r w:rsidRPr="005F3204">
        <w:rPr>
          <w:rFonts w:ascii="Avenir Next LT Pro Light" w:hAnsi="Avenir Next LT Pro Light"/>
        </w:rPr>
        <w:t>Next steps:</w:t>
      </w:r>
    </w:p>
    <w:p w14:paraId="161209C5" w14:textId="77777777" w:rsidR="00250519" w:rsidRPr="005F3204" w:rsidRDefault="00250519" w:rsidP="00250519">
      <w:pPr>
        <w:pStyle w:val="ListParagraph"/>
        <w:numPr>
          <w:ilvl w:val="2"/>
          <w:numId w:val="11"/>
        </w:numPr>
        <w:rPr>
          <w:rFonts w:ascii="Avenir Next LT Pro Light" w:eastAsia="Aptos" w:hAnsi="Avenir Next LT Pro Light" w:cstheme="minorHAnsi"/>
        </w:rPr>
      </w:pPr>
      <w:r w:rsidRPr="005F3204">
        <w:rPr>
          <w:rFonts w:ascii="Avenir Next LT Pro Light" w:eastAsia="Aptos" w:hAnsi="Avenir Next LT Pro Light" w:cstheme="minorHAnsi"/>
        </w:rPr>
        <w:t xml:space="preserve">Analyze feedback collected during the launch event to identify priority needs and opportunities for program development. </w:t>
      </w:r>
    </w:p>
    <w:p w14:paraId="4D0D9139" w14:textId="77777777" w:rsidR="00250519" w:rsidRPr="005F3204" w:rsidRDefault="00250519" w:rsidP="00250519">
      <w:pPr>
        <w:pStyle w:val="ListParagraph"/>
        <w:numPr>
          <w:ilvl w:val="2"/>
          <w:numId w:val="11"/>
        </w:numPr>
        <w:rPr>
          <w:rFonts w:ascii="Avenir Next LT Pro Light" w:eastAsia="Aptos" w:hAnsi="Avenir Next LT Pro Light" w:cstheme="minorHAnsi"/>
        </w:rPr>
      </w:pPr>
      <w:r w:rsidRPr="005F3204">
        <w:rPr>
          <w:rFonts w:ascii="Avenir Next LT Pro Light" w:eastAsia="Aptos" w:hAnsi="Avenir Next LT Pro Light" w:cstheme="minorHAnsi"/>
        </w:rPr>
        <w:t xml:space="preserve">Develop a structured Fatherhood Initiative action plan, including goals, measurable outcomes, and implementation timelines. </w:t>
      </w:r>
    </w:p>
    <w:p w14:paraId="1C891C90" w14:textId="77777777" w:rsidR="00250519" w:rsidRPr="005F3204" w:rsidRDefault="00250519" w:rsidP="00250519">
      <w:pPr>
        <w:pStyle w:val="ListParagraph"/>
        <w:numPr>
          <w:ilvl w:val="2"/>
          <w:numId w:val="11"/>
        </w:numPr>
        <w:rPr>
          <w:rFonts w:ascii="Avenir Next LT Pro Light" w:eastAsia="Aptos" w:hAnsi="Avenir Next LT Pro Light" w:cstheme="minorHAnsi"/>
        </w:rPr>
      </w:pPr>
      <w:r w:rsidRPr="005F3204">
        <w:rPr>
          <w:rFonts w:ascii="Avenir Next LT Pro Light" w:eastAsia="Aptos" w:hAnsi="Avenir Next LT Pro Light" w:cstheme="minorHAnsi"/>
        </w:rPr>
        <w:t xml:space="preserve">Strengthen partnerships with community organizations and agencies that provide services to fathers, including employment, parenting education, mental health, housing, and legal resources. </w:t>
      </w:r>
    </w:p>
    <w:p w14:paraId="53198685" w14:textId="77777777" w:rsidR="00250519" w:rsidRPr="005F3204" w:rsidRDefault="00250519" w:rsidP="00250519">
      <w:pPr>
        <w:pStyle w:val="ListParagraph"/>
        <w:numPr>
          <w:ilvl w:val="2"/>
          <w:numId w:val="11"/>
        </w:numPr>
        <w:rPr>
          <w:rFonts w:ascii="Avenir Next LT Pro Light" w:eastAsia="Aptos" w:hAnsi="Avenir Next LT Pro Light" w:cstheme="minorHAnsi"/>
        </w:rPr>
      </w:pPr>
      <w:r w:rsidRPr="005F3204">
        <w:rPr>
          <w:rFonts w:ascii="Avenir Next LT Pro Light" w:eastAsia="Aptos" w:hAnsi="Avenir Next LT Pro Light" w:cstheme="minorHAnsi"/>
        </w:rPr>
        <w:t xml:space="preserve">Incorporate evidence-informed practices and resources identified through the North Carolina Fatherhood Conference into program design. </w:t>
      </w:r>
    </w:p>
    <w:p w14:paraId="154A7DBA" w14:textId="77777777" w:rsidR="00250519" w:rsidRPr="005F3204" w:rsidRDefault="00250519" w:rsidP="00250519">
      <w:pPr>
        <w:pStyle w:val="ListParagraph"/>
        <w:numPr>
          <w:ilvl w:val="2"/>
          <w:numId w:val="11"/>
        </w:numPr>
        <w:rPr>
          <w:rFonts w:ascii="Avenir Next LT Pro Light" w:eastAsia="Aptos" w:hAnsi="Avenir Next LT Pro Light" w:cstheme="minorHAnsi"/>
        </w:rPr>
      </w:pPr>
      <w:r w:rsidRPr="005F3204">
        <w:rPr>
          <w:rFonts w:ascii="Avenir Next LT Pro Light" w:eastAsia="Aptos" w:hAnsi="Avenir Next LT Pro Light" w:cstheme="minorHAnsi"/>
        </w:rPr>
        <w:t xml:space="preserve">Expand outreach efforts to increase father participation in Child &amp; Family Services and connect fathers with supportive services. </w:t>
      </w:r>
    </w:p>
    <w:p w14:paraId="59AB2E2C" w14:textId="49617F17" w:rsidR="00142329" w:rsidRPr="00194404" w:rsidRDefault="00250519" w:rsidP="008A151F">
      <w:pPr>
        <w:pStyle w:val="ListParagraph"/>
        <w:numPr>
          <w:ilvl w:val="2"/>
          <w:numId w:val="11"/>
        </w:numPr>
        <w:rPr>
          <w:rFonts w:ascii="Avenir Next LT Pro Light" w:eastAsia="Aptos" w:hAnsi="Avenir Next LT Pro Light" w:cstheme="minorHAnsi"/>
        </w:rPr>
      </w:pPr>
      <w:r w:rsidRPr="005F3204">
        <w:rPr>
          <w:rFonts w:ascii="Avenir Next LT Pro Light" w:eastAsia="Aptos" w:hAnsi="Avenir Next LT Pro Light" w:cstheme="minorHAnsi"/>
        </w:rPr>
        <w:t>Establish ongoing opportunities for fathers to provide input through focus groups, advisory meetings, or recurring engagement events to ensure the initiative remains responsive to community needs.</w:t>
      </w:r>
    </w:p>
    <w:p w14:paraId="3C4C89EC" w14:textId="77777777" w:rsidR="00375750" w:rsidRPr="00FE7286" w:rsidRDefault="00375750" w:rsidP="00375750">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CPS In-Home &amp; Prevention Services:</w:t>
      </w:r>
    </w:p>
    <w:p w14:paraId="5F54069D" w14:textId="58DD9572" w:rsidR="00375750" w:rsidRPr="00FE7286" w:rsidRDefault="00375750" w:rsidP="00375750">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xml:space="preserve">Homebuilders: </w:t>
      </w:r>
      <w:r w:rsidR="009B4BFF">
        <w:rPr>
          <w:rFonts w:ascii="Avenir Next LT Pro Light" w:eastAsia="Aptos" w:hAnsi="Avenir Next LT Pro Light" w:cstheme="minorHAnsi"/>
          <w:color w:val="000000" w:themeColor="text1"/>
          <w:sz w:val="22"/>
          <w:szCs w:val="22"/>
        </w:rPr>
        <w:t>Currently, no families</w:t>
      </w:r>
      <w:r w:rsidR="00F4652A">
        <w:rPr>
          <w:rFonts w:ascii="Avenir Next LT Pro Light" w:eastAsia="Aptos" w:hAnsi="Avenir Next LT Pro Light" w:cstheme="minorHAnsi"/>
          <w:color w:val="000000" w:themeColor="text1"/>
          <w:sz w:val="22"/>
          <w:szCs w:val="22"/>
        </w:rPr>
        <w:t xml:space="preserve"> are</w:t>
      </w:r>
      <w:r w:rsidR="009B4BFF">
        <w:rPr>
          <w:rFonts w:ascii="Avenir Next LT Pro Light" w:eastAsia="Aptos" w:hAnsi="Avenir Next LT Pro Light" w:cstheme="minorHAnsi"/>
          <w:color w:val="000000" w:themeColor="text1"/>
          <w:sz w:val="22"/>
          <w:szCs w:val="22"/>
        </w:rPr>
        <w:t xml:space="preserve"> </w:t>
      </w:r>
      <w:r w:rsidR="00F4652A">
        <w:rPr>
          <w:rFonts w:ascii="Avenir Next LT Pro Light" w:eastAsia="Aptos" w:hAnsi="Avenir Next LT Pro Light" w:cstheme="minorHAnsi"/>
          <w:color w:val="000000" w:themeColor="text1"/>
          <w:sz w:val="22"/>
          <w:szCs w:val="22"/>
        </w:rPr>
        <w:t>engaged</w:t>
      </w:r>
      <w:r w:rsidR="009B4BFF">
        <w:rPr>
          <w:rFonts w:ascii="Avenir Next LT Pro Light" w:eastAsia="Aptos" w:hAnsi="Avenir Next LT Pro Light" w:cstheme="minorHAnsi"/>
          <w:color w:val="000000" w:themeColor="text1"/>
          <w:sz w:val="22"/>
          <w:szCs w:val="22"/>
        </w:rPr>
        <w:t xml:space="preserve"> in the service.</w:t>
      </w:r>
    </w:p>
    <w:p w14:paraId="358E93BF" w14:textId="6DD72CCC" w:rsidR="00375750" w:rsidRPr="00FE7286" w:rsidRDefault="00375750" w:rsidP="00375750">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xml:space="preserve">Foundations for Families Clinic: </w:t>
      </w:r>
      <w:r w:rsidR="009B4BFF">
        <w:rPr>
          <w:rFonts w:ascii="Avenir Next LT Pro Light" w:eastAsia="Aptos" w:hAnsi="Avenir Next LT Pro Light" w:cstheme="minorHAnsi"/>
          <w:color w:val="000000" w:themeColor="text1"/>
          <w:sz w:val="22"/>
          <w:szCs w:val="22"/>
        </w:rPr>
        <w:t>No families</w:t>
      </w:r>
      <w:r w:rsidR="00875622">
        <w:rPr>
          <w:rFonts w:ascii="Avenir Next LT Pro Light" w:eastAsia="Aptos" w:hAnsi="Avenir Next LT Pro Light" w:cstheme="minorHAnsi"/>
          <w:color w:val="000000" w:themeColor="text1"/>
          <w:sz w:val="22"/>
          <w:szCs w:val="22"/>
        </w:rPr>
        <w:t xml:space="preserve"> are</w:t>
      </w:r>
      <w:r w:rsidR="009B4BFF">
        <w:rPr>
          <w:rFonts w:ascii="Avenir Next LT Pro Light" w:eastAsia="Aptos" w:hAnsi="Avenir Next LT Pro Light" w:cstheme="minorHAnsi"/>
          <w:color w:val="000000" w:themeColor="text1"/>
          <w:sz w:val="22"/>
          <w:szCs w:val="22"/>
        </w:rPr>
        <w:t xml:space="preserve"> being serv</w:t>
      </w:r>
      <w:r w:rsidR="00441C26">
        <w:rPr>
          <w:rFonts w:ascii="Avenir Next LT Pro Light" w:eastAsia="Aptos" w:hAnsi="Avenir Next LT Pro Light" w:cstheme="minorHAnsi"/>
          <w:color w:val="000000" w:themeColor="text1"/>
          <w:sz w:val="22"/>
          <w:szCs w:val="22"/>
        </w:rPr>
        <w:t>ed.</w:t>
      </w:r>
      <w:r w:rsidR="009B4BFF">
        <w:rPr>
          <w:rFonts w:ascii="Avenir Next LT Pro Light" w:eastAsia="Aptos" w:hAnsi="Avenir Next LT Pro Light" w:cstheme="minorHAnsi"/>
          <w:color w:val="000000" w:themeColor="text1"/>
          <w:sz w:val="22"/>
          <w:szCs w:val="22"/>
        </w:rPr>
        <w:t xml:space="preserve"> </w:t>
      </w:r>
    </w:p>
    <w:tbl>
      <w:tblPr>
        <w:tblStyle w:val="TableGrid"/>
        <w:tblW w:w="0" w:type="auto"/>
        <w:tblLook w:val="04A0" w:firstRow="1" w:lastRow="0" w:firstColumn="1" w:lastColumn="0" w:noHBand="0" w:noVBand="1"/>
      </w:tblPr>
      <w:tblGrid>
        <w:gridCol w:w="3116"/>
        <w:gridCol w:w="3117"/>
      </w:tblGrid>
      <w:tr w:rsidR="00375750" w:rsidRPr="00FE7286" w14:paraId="5A956327" w14:textId="77777777" w:rsidTr="0055689E">
        <w:tc>
          <w:tcPr>
            <w:tcW w:w="3116" w:type="dxa"/>
          </w:tcPr>
          <w:p w14:paraId="39C6D0A4"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lastRenderedPageBreak/>
              <w:t># Open Cases</w:t>
            </w:r>
          </w:p>
        </w:tc>
        <w:tc>
          <w:tcPr>
            <w:tcW w:w="3117" w:type="dxa"/>
          </w:tcPr>
          <w:p w14:paraId="1B3EFDA5"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30</w:t>
            </w:r>
          </w:p>
        </w:tc>
      </w:tr>
      <w:tr w:rsidR="00375750" w:rsidRPr="00FE7286" w14:paraId="3579C629" w14:textId="77777777" w:rsidTr="0055689E">
        <w:tc>
          <w:tcPr>
            <w:tcW w:w="3116" w:type="dxa"/>
          </w:tcPr>
          <w:p w14:paraId="3009C28F"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of Children Served</w:t>
            </w:r>
          </w:p>
        </w:tc>
        <w:tc>
          <w:tcPr>
            <w:tcW w:w="3117" w:type="dxa"/>
          </w:tcPr>
          <w:p w14:paraId="0179B74D"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51</w:t>
            </w:r>
          </w:p>
        </w:tc>
      </w:tr>
      <w:tr w:rsidR="00375750" w:rsidRPr="00FE7286" w14:paraId="41B5CF2A" w14:textId="77777777" w:rsidTr="0055689E">
        <w:tc>
          <w:tcPr>
            <w:tcW w:w="3116" w:type="dxa"/>
          </w:tcPr>
          <w:p w14:paraId="1BB3EDC9"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of Cases Closed</w:t>
            </w:r>
          </w:p>
        </w:tc>
        <w:tc>
          <w:tcPr>
            <w:tcW w:w="3117" w:type="dxa"/>
          </w:tcPr>
          <w:p w14:paraId="60B6039F"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5</w:t>
            </w:r>
          </w:p>
        </w:tc>
      </w:tr>
      <w:tr w:rsidR="00375750" w:rsidRPr="00FE7286" w14:paraId="34488F59" w14:textId="77777777" w:rsidTr="0055689E">
        <w:tc>
          <w:tcPr>
            <w:tcW w:w="3116" w:type="dxa"/>
          </w:tcPr>
          <w:p w14:paraId="76D96761"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of Cases Received</w:t>
            </w:r>
          </w:p>
        </w:tc>
        <w:tc>
          <w:tcPr>
            <w:tcW w:w="3117" w:type="dxa"/>
          </w:tcPr>
          <w:p w14:paraId="0D5FEE60"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2</w:t>
            </w:r>
          </w:p>
        </w:tc>
      </w:tr>
      <w:tr w:rsidR="00375750" w:rsidRPr="00FE7286" w14:paraId="7358D177" w14:textId="77777777" w:rsidTr="0055689E">
        <w:tc>
          <w:tcPr>
            <w:tcW w:w="3116" w:type="dxa"/>
          </w:tcPr>
          <w:p w14:paraId="5EB02531"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of Children Residing with Their Parents</w:t>
            </w:r>
          </w:p>
        </w:tc>
        <w:tc>
          <w:tcPr>
            <w:tcW w:w="3117" w:type="dxa"/>
          </w:tcPr>
          <w:p w14:paraId="268FBD2B"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38</w:t>
            </w:r>
          </w:p>
        </w:tc>
      </w:tr>
      <w:tr w:rsidR="00375750" w:rsidRPr="00FE7286" w14:paraId="16F4C316" w14:textId="77777777" w:rsidTr="0055689E">
        <w:tc>
          <w:tcPr>
            <w:tcW w:w="3116" w:type="dxa"/>
          </w:tcPr>
          <w:p w14:paraId="3168C0EF"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of Children in TSPs</w:t>
            </w:r>
          </w:p>
        </w:tc>
        <w:tc>
          <w:tcPr>
            <w:tcW w:w="3117" w:type="dxa"/>
          </w:tcPr>
          <w:p w14:paraId="1ABE70A9"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4</w:t>
            </w:r>
          </w:p>
        </w:tc>
      </w:tr>
      <w:tr w:rsidR="00375750" w:rsidRPr="00FE7286" w14:paraId="3F371702" w14:textId="77777777" w:rsidTr="0055689E">
        <w:tc>
          <w:tcPr>
            <w:tcW w:w="3116" w:type="dxa"/>
          </w:tcPr>
          <w:p w14:paraId="46ECE59A"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 of Children in Court Approved Placements</w:t>
            </w:r>
          </w:p>
        </w:tc>
        <w:tc>
          <w:tcPr>
            <w:tcW w:w="3117" w:type="dxa"/>
          </w:tcPr>
          <w:p w14:paraId="09313125"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8</w:t>
            </w:r>
          </w:p>
        </w:tc>
      </w:tr>
      <w:tr w:rsidR="00375750" w:rsidRPr="00FE7286" w14:paraId="525F6D33" w14:textId="77777777" w:rsidTr="0055689E">
        <w:tc>
          <w:tcPr>
            <w:tcW w:w="3116" w:type="dxa"/>
          </w:tcPr>
          <w:p w14:paraId="3F7A74E7" w14:textId="77777777" w:rsidR="00375750" w:rsidRPr="00FE7286"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 xml:space="preserve"># of Children in Other placements </w:t>
            </w:r>
          </w:p>
        </w:tc>
        <w:tc>
          <w:tcPr>
            <w:tcW w:w="3117" w:type="dxa"/>
          </w:tcPr>
          <w:p w14:paraId="57E39F34" w14:textId="77777777" w:rsidR="00375750" w:rsidRDefault="00375750" w:rsidP="0055689E">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1</w:t>
            </w:r>
          </w:p>
        </w:tc>
      </w:tr>
    </w:tbl>
    <w:p w14:paraId="6FEB3FB7" w14:textId="77777777" w:rsidR="00375750" w:rsidRPr="00FE7286" w:rsidRDefault="00375750" w:rsidP="00375750">
      <w:pPr>
        <w:spacing w:after="200" w:line="276" w:lineRule="auto"/>
        <w:rPr>
          <w:rFonts w:ascii="Avenir Next LT Pro Light" w:eastAsia="Aptos" w:hAnsi="Avenir Next LT Pro Light" w:cstheme="minorHAnsi"/>
          <w:b/>
          <w:bCs/>
          <w:color w:val="000000" w:themeColor="text1"/>
          <w:sz w:val="22"/>
          <w:szCs w:val="22"/>
        </w:rPr>
      </w:pPr>
    </w:p>
    <w:p w14:paraId="2EF8390E" w14:textId="77777777" w:rsidR="00375750" w:rsidRPr="00FE7286" w:rsidRDefault="00375750" w:rsidP="00375750">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Supervised Family Time (Visitations):</w:t>
      </w:r>
    </w:p>
    <w:p w14:paraId="03B1A562" w14:textId="77777777" w:rsidR="00375750" w:rsidRPr="00FE7286" w:rsidRDefault="00375750" w:rsidP="00375750">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 xml:space="preserve">Community Social Services Assistants (CSSAs) provided transportation for and/or supervised eighty-two (82) family time sessions. CSSAs provided transportation for four (4) unsupervised family time sessions.  </w:t>
      </w:r>
    </w:p>
    <w:p w14:paraId="2C582BC6" w14:textId="63FEBCCC" w:rsidR="008A151F" w:rsidRPr="005F7194" w:rsidRDefault="00375750" w:rsidP="008A151F">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eastAsia="Aptos" w:hAnsi="Avenir Next LT Pro Light" w:cstheme="minorHAnsi"/>
          <w:color w:val="000000" w:themeColor="text1"/>
          <w:sz w:val="22"/>
          <w:szCs w:val="22"/>
        </w:rPr>
        <w:t>*T</w:t>
      </w:r>
      <w:r>
        <w:rPr>
          <w:rFonts w:ascii="Avenir Next LT Pro Light" w:eastAsia="Aptos" w:hAnsi="Avenir Next LT Pro Light" w:cstheme="minorHAnsi"/>
          <w:color w:val="000000" w:themeColor="text1"/>
          <w:sz w:val="22"/>
          <w:szCs w:val="22"/>
        </w:rPr>
        <w:t>wo</w:t>
      </w:r>
      <w:r w:rsidRPr="00FE7286">
        <w:rPr>
          <w:rFonts w:ascii="Avenir Next LT Pro Light" w:eastAsia="Aptos" w:hAnsi="Avenir Next LT Pro Light" w:cstheme="minorHAnsi"/>
          <w:color w:val="000000" w:themeColor="text1"/>
          <w:sz w:val="22"/>
          <w:szCs w:val="22"/>
        </w:rPr>
        <w:t xml:space="preserve"> families are receiving supervised family time on Saturdays. </w:t>
      </w:r>
    </w:p>
    <w:p w14:paraId="1745EAD8" w14:textId="77777777" w:rsidR="008A151F" w:rsidRDefault="008A151F" w:rsidP="008A151F">
      <w:pPr>
        <w:spacing w:after="200" w:line="276" w:lineRule="auto"/>
        <w:rPr>
          <w:rFonts w:ascii="Avenir Next LT Pro Light" w:eastAsia="Aptos" w:hAnsi="Avenir Next LT Pro Light" w:cstheme="minorHAnsi"/>
          <w:b/>
          <w:bCs/>
          <w:color w:val="000000" w:themeColor="text1"/>
          <w:sz w:val="22"/>
          <w:szCs w:val="22"/>
        </w:rPr>
      </w:pPr>
      <w:r w:rsidRPr="005F7194">
        <w:rPr>
          <w:rFonts w:ascii="Avenir Next LT Pro Light" w:eastAsia="Aptos" w:hAnsi="Avenir Next LT Pro Light" w:cstheme="minorHAnsi"/>
          <w:b/>
          <w:bCs/>
          <w:color w:val="000000" w:themeColor="text1"/>
          <w:sz w:val="22"/>
          <w:szCs w:val="22"/>
        </w:rPr>
        <w:t>Child Placement and Permanency Services (Permanency Planning/Foster Care):</w:t>
      </w:r>
    </w:p>
    <w:p w14:paraId="4C7C4B93" w14:textId="6F25FD9F" w:rsidR="00915F9D" w:rsidRPr="00B9140B" w:rsidRDefault="00915F9D" w:rsidP="00B9140B">
      <w:pPr>
        <w:spacing w:after="200" w:line="276" w:lineRule="auto"/>
        <w:rPr>
          <w:rFonts w:ascii="Avenir Next LT Pro Light" w:eastAsia="Aptos" w:hAnsi="Avenir Next LT Pro Light" w:cstheme="minorHAnsi"/>
          <w:color w:val="000000" w:themeColor="text1"/>
          <w:sz w:val="24"/>
          <w:szCs w:val="24"/>
        </w:rPr>
      </w:pPr>
      <w:r w:rsidRPr="00F50204">
        <w:rPr>
          <w:rFonts w:ascii="Avenir Next LT Pro Light" w:eastAsia="Aptos" w:hAnsi="Avenir Next LT Pro Light" w:cstheme="minorHAnsi"/>
          <w:color w:val="000000" w:themeColor="text1"/>
          <w:sz w:val="24"/>
          <w:szCs w:val="24"/>
        </w:rPr>
        <w:t>As of Ju</w:t>
      </w:r>
      <w:r>
        <w:rPr>
          <w:rFonts w:ascii="Avenir Next LT Pro Light" w:eastAsia="Aptos" w:hAnsi="Avenir Next LT Pro Light" w:cstheme="minorHAnsi"/>
          <w:color w:val="000000" w:themeColor="text1"/>
          <w:sz w:val="24"/>
          <w:szCs w:val="24"/>
        </w:rPr>
        <w:t>ly</w:t>
      </w:r>
      <w:r w:rsidRPr="00F50204">
        <w:rPr>
          <w:rFonts w:ascii="Avenir Next LT Pro Light" w:eastAsia="Aptos" w:hAnsi="Avenir Next LT Pro Light" w:cstheme="minorHAnsi"/>
          <w:color w:val="000000" w:themeColor="text1"/>
          <w:sz w:val="24"/>
          <w:szCs w:val="24"/>
        </w:rPr>
        <w:t xml:space="preserve"> </w:t>
      </w:r>
      <w:r>
        <w:rPr>
          <w:rFonts w:ascii="Avenir Next LT Pro Light" w:eastAsia="Aptos" w:hAnsi="Avenir Next LT Pro Light" w:cstheme="minorHAnsi"/>
          <w:color w:val="000000" w:themeColor="text1"/>
          <w:sz w:val="24"/>
          <w:szCs w:val="24"/>
        </w:rPr>
        <w:t>8</w:t>
      </w:r>
      <w:r w:rsidRPr="00F50204">
        <w:rPr>
          <w:rFonts w:ascii="Avenir Next LT Pro Light" w:eastAsia="Aptos" w:hAnsi="Avenir Next LT Pro Light" w:cstheme="minorHAnsi"/>
          <w:color w:val="000000" w:themeColor="text1"/>
          <w:sz w:val="24"/>
          <w:szCs w:val="24"/>
          <w:vertAlign w:val="superscript"/>
        </w:rPr>
        <w:t>th</w:t>
      </w:r>
      <w:r w:rsidRPr="00F50204">
        <w:rPr>
          <w:rFonts w:ascii="Avenir Next LT Pro Light" w:eastAsia="Aptos" w:hAnsi="Avenir Next LT Pro Light" w:cstheme="minorHAnsi"/>
          <w:color w:val="000000" w:themeColor="text1"/>
          <w:sz w:val="24"/>
          <w:szCs w:val="24"/>
        </w:rPr>
        <w:t xml:space="preserve">, </w:t>
      </w:r>
      <w:r w:rsidRPr="00F50204">
        <w:rPr>
          <w:rFonts w:ascii="Avenir Next LT Pro Light" w:eastAsia="Aptos" w:hAnsi="Avenir Next LT Pro Light" w:cstheme="minorHAnsi"/>
          <w:b/>
          <w:bCs/>
          <w:color w:val="000000" w:themeColor="text1"/>
          <w:sz w:val="24"/>
          <w:szCs w:val="24"/>
        </w:rPr>
        <w:t>17</w:t>
      </w:r>
      <w:r w:rsidR="00650F46">
        <w:rPr>
          <w:rFonts w:ascii="Avenir Next LT Pro Light" w:eastAsia="Aptos" w:hAnsi="Avenir Next LT Pro Light" w:cstheme="minorHAnsi"/>
          <w:b/>
          <w:bCs/>
          <w:color w:val="000000" w:themeColor="text1"/>
          <w:sz w:val="24"/>
          <w:szCs w:val="24"/>
        </w:rPr>
        <w:t>9</w:t>
      </w:r>
      <w:r w:rsidRPr="00F50204">
        <w:rPr>
          <w:rFonts w:ascii="Avenir Next LT Pro Light" w:eastAsia="Aptos" w:hAnsi="Avenir Next LT Pro Light" w:cstheme="minorHAnsi"/>
          <w:color w:val="000000" w:themeColor="text1"/>
          <w:sz w:val="24"/>
          <w:szCs w:val="24"/>
        </w:rPr>
        <w:t xml:space="preserve"> children are in custody of the Department. </w:t>
      </w:r>
    </w:p>
    <w:tbl>
      <w:tblPr>
        <w:tblStyle w:val="TableGrid"/>
        <w:tblW w:w="0" w:type="auto"/>
        <w:tblLook w:val="04A0" w:firstRow="1" w:lastRow="0" w:firstColumn="1" w:lastColumn="0" w:noHBand="0" w:noVBand="1"/>
      </w:tblPr>
      <w:tblGrid>
        <w:gridCol w:w="5020"/>
        <w:gridCol w:w="469"/>
      </w:tblGrid>
      <w:tr w:rsidR="00915F9D" w:rsidRPr="00FE7286" w14:paraId="217D387F" w14:textId="77777777" w:rsidTr="007968A4">
        <w:tc>
          <w:tcPr>
            <w:tcW w:w="0" w:type="auto"/>
          </w:tcPr>
          <w:p w14:paraId="576C2257" w14:textId="77777777" w:rsidR="00915F9D" w:rsidRPr="00FE7286" w:rsidRDefault="00915F9D" w:rsidP="007968A4">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in Home of Parents</w:t>
            </w:r>
          </w:p>
        </w:tc>
        <w:tc>
          <w:tcPr>
            <w:tcW w:w="0" w:type="auto"/>
          </w:tcPr>
          <w:p w14:paraId="6A6E3892" w14:textId="77777777" w:rsidR="00915F9D" w:rsidRPr="00FE7286" w:rsidRDefault="00915F9D"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6</w:t>
            </w:r>
          </w:p>
        </w:tc>
      </w:tr>
      <w:tr w:rsidR="00915F9D" w:rsidRPr="00FE7286" w14:paraId="4776A7C9" w14:textId="77777777" w:rsidTr="007968A4">
        <w:tc>
          <w:tcPr>
            <w:tcW w:w="0" w:type="auto"/>
          </w:tcPr>
          <w:p w14:paraId="5BED127D" w14:textId="77777777" w:rsidR="00915F9D" w:rsidRPr="00FE7286" w:rsidRDefault="00915F9D" w:rsidP="007968A4">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Unlicensed Relatives</w:t>
            </w:r>
          </w:p>
        </w:tc>
        <w:tc>
          <w:tcPr>
            <w:tcW w:w="0" w:type="auto"/>
          </w:tcPr>
          <w:p w14:paraId="30EB21A6" w14:textId="77777777" w:rsidR="00915F9D" w:rsidRPr="00FE7286" w:rsidRDefault="00915F9D"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62</w:t>
            </w:r>
          </w:p>
        </w:tc>
      </w:tr>
      <w:tr w:rsidR="00915F9D" w:rsidRPr="00FE7286" w14:paraId="05F67DC2" w14:textId="77777777" w:rsidTr="007968A4">
        <w:tc>
          <w:tcPr>
            <w:tcW w:w="0" w:type="auto"/>
          </w:tcPr>
          <w:p w14:paraId="2E0F92A0" w14:textId="77777777" w:rsidR="00915F9D" w:rsidRPr="00FE7286" w:rsidRDefault="00915F9D" w:rsidP="007968A4">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Licensed Relatives</w:t>
            </w:r>
          </w:p>
        </w:tc>
        <w:tc>
          <w:tcPr>
            <w:tcW w:w="0" w:type="auto"/>
          </w:tcPr>
          <w:p w14:paraId="2678DE57" w14:textId="77777777" w:rsidR="00915F9D" w:rsidRPr="00FE7286" w:rsidRDefault="00915F9D"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3</w:t>
            </w:r>
          </w:p>
        </w:tc>
      </w:tr>
      <w:tr w:rsidR="00915F9D" w:rsidRPr="00FE7286" w14:paraId="2DD41B32" w14:textId="77777777" w:rsidTr="007968A4">
        <w:tc>
          <w:tcPr>
            <w:tcW w:w="0" w:type="auto"/>
          </w:tcPr>
          <w:p w14:paraId="5C434042" w14:textId="77777777" w:rsidR="00915F9D" w:rsidRPr="00FE7286" w:rsidRDefault="00915F9D" w:rsidP="007968A4">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Non-relatives per Court Order</w:t>
            </w:r>
          </w:p>
        </w:tc>
        <w:tc>
          <w:tcPr>
            <w:tcW w:w="0" w:type="auto"/>
          </w:tcPr>
          <w:p w14:paraId="1B051A71" w14:textId="77777777" w:rsidR="00915F9D" w:rsidRPr="00FE7286" w:rsidRDefault="00915F9D"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5</w:t>
            </w:r>
          </w:p>
        </w:tc>
      </w:tr>
      <w:tr w:rsidR="00885D79" w:rsidRPr="00FE7286" w14:paraId="03EDA1FB" w14:textId="77777777" w:rsidTr="007968A4">
        <w:tc>
          <w:tcPr>
            <w:tcW w:w="0" w:type="auto"/>
          </w:tcPr>
          <w:p w14:paraId="08643294" w14:textId="43E48C1A" w:rsidR="00885D79" w:rsidRPr="00FE7286"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in Traditional Foster Homes</w:t>
            </w:r>
          </w:p>
        </w:tc>
        <w:tc>
          <w:tcPr>
            <w:tcW w:w="0" w:type="auto"/>
          </w:tcPr>
          <w:p w14:paraId="06F519DB" w14:textId="7E11B47C" w:rsidR="00885D79"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4</w:t>
            </w:r>
            <w:r w:rsidR="00650F46">
              <w:rPr>
                <w:rFonts w:ascii="Avenir Next LT Pro Light" w:hAnsi="Avenir Next LT Pro Light" w:cstheme="minorHAnsi"/>
                <w:sz w:val="22"/>
                <w:szCs w:val="22"/>
              </w:rPr>
              <w:t>7</w:t>
            </w:r>
          </w:p>
        </w:tc>
      </w:tr>
      <w:tr w:rsidR="00885D79" w:rsidRPr="00FE7286" w14:paraId="72E7DF6B" w14:textId="77777777" w:rsidTr="007968A4">
        <w:tc>
          <w:tcPr>
            <w:tcW w:w="0" w:type="auto"/>
          </w:tcPr>
          <w:p w14:paraId="492C7B45" w14:textId="719D8963" w:rsidR="00885D79" w:rsidRPr="00FE7286"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in Therapeutic Foster Homes</w:t>
            </w:r>
          </w:p>
        </w:tc>
        <w:tc>
          <w:tcPr>
            <w:tcW w:w="0" w:type="auto"/>
          </w:tcPr>
          <w:p w14:paraId="4A81DC29" w14:textId="4F5F373A" w:rsidR="00885D79"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30</w:t>
            </w:r>
          </w:p>
        </w:tc>
      </w:tr>
      <w:tr w:rsidR="00885D79" w:rsidRPr="00FE7286" w14:paraId="25352E62" w14:textId="77777777" w:rsidTr="007968A4">
        <w:tc>
          <w:tcPr>
            <w:tcW w:w="0" w:type="auto"/>
          </w:tcPr>
          <w:p w14:paraId="1B0B4287" w14:textId="41A0F54C" w:rsidR="00885D79" w:rsidRPr="00FE7286"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in Group Homes or Facilities</w:t>
            </w:r>
          </w:p>
        </w:tc>
        <w:tc>
          <w:tcPr>
            <w:tcW w:w="0" w:type="auto"/>
          </w:tcPr>
          <w:p w14:paraId="1A03F75B" w14:textId="3158A92D" w:rsidR="00885D79"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17</w:t>
            </w:r>
          </w:p>
        </w:tc>
      </w:tr>
      <w:tr w:rsidR="00885D79" w:rsidRPr="00FE7286" w14:paraId="5E466BD1" w14:textId="77777777" w:rsidTr="007968A4">
        <w:tc>
          <w:tcPr>
            <w:tcW w:w="0" w:type="auto"/>
          </w:tcPr>
          <w:p w14:paraId="5B993957" w14:textId="6378C663" w:rsidR="00885D79" w:rsidRPr="00FE7286"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in Jail or Detention</w:t>
            </w:r>
          </w:p>
        </w:tc>
        <w:tc>
          <w:tcPr>
            <w:tcW w:w="0" w:type="auto"/>
          </w:tcPr>
          <w:p w14:paraId="2039A39C" w14:textId="2B5FB2B6" w:rsidR="00885D79"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8</w:t>
            </w:r>
          </w:p>
        </w:tc>
      </w:tr>
      <w:tr w:rsidR="00885D79" w:rsidRPr="00FE7286" w14:paraId="4B9D6278" w14:textId="77777777" w:rsidTr="007968A4">
        <w:tc>
          <w:tcPr>
            <w:tcW w:w="0" w:type="auto"/>
          </w:tcPr>
          <w:p w14:paraId="6E8CFBBF" w14:textId="6D90EEC3" w:rsidR="00885D79" w:rsidRPr="00FE7286"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on Runaway</w:t>
            </w:r>
          </w:p>
        </w:tc>
        <w:tc>
          <w:tcPr>
            <w:tcW w:w="0" w:type="auto"/>
          </w:tcPr>
          <w:p w14:paraId="31A2BF9B" w14:textId="6C24938B" w:rsidR="00885D79" w:rsidRDefault="00C76526" w:rsidP="007968A4">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1</w:t>
            </w:r>
          </w:p>
        </w:tc>
      </w:tr>
    </w:tbl>
    <w:p w14:paraId="3D242535" w14:textId="77777777" w:rsidR="00915F9D" w:rsidRDefault="00915F9D" w:rsidP="00915F9D"/>
    <w:p w14:paraId="27BD2FF7" w14:textId="77777777" w:rsidR="008A151F" w:rsidRPr="005F7194" w:rsidRDefault="008A151F" w:rsidP="008A151F">
      <w:pPr>
        <w:rPr>
          <w:rFonts w:ascii="Avenir Next LT Pro Light" w:hAnsi="Avenir Next LT Pro Light"/>
          <w:sz w:val="22"/>
          <w:szCs w:val="22"/>
        </w:rPr>
      </w:pPr>
    </w:p>
    <w:p w14:paraId="1FE5D227" w14:textId="393EE4B8" w:rsidR="008A151F" w:rsidRPr="00FE7286" w:rsidRDefault="008A151F" w:rsidP="008A151F">
      <w:pPr>
        <w:spacing w:line="252" w:lineRule="auto"/>
        <w:rPr>
          <w:rFonts w:ascii="Avenir Next LT Pro Light" w:hAnsi="Avenir Next LT Pro Light" w:cstheme="minorHAnsi"/>
          <w:b/>
          <w:bCs/>
          <w:sz w:val="22"/>
          <w:szCs w:val="22"/>
          <w:u w:val="single"/>
        </w:rPr>
      </w:pPr>
      <w:r w:rsidRPr="00FE7286">
        <w:rPr>
          <w:rFonts w:ascii="Avenir Next LT Pro Light" w:hAnsi="Avenir Next LT Pro Light" w:cstheme="minorHAnsi"/>
          <w:b/>
          <w:bCs/>
          <w:sz w:val="22"/>
          <w:szCs w:val="22"/>
          <w:u w:val="single"/>
        </w:rPr>
        <w:t xml:space="preserve">Program Outcome Measures (HB630) – </w:t>
      </w:r>
      <w:r w:rsidR="0030771E">
        <w:rPr>
          <w:rFonts w:ascii="Avenir Next LT Pro Light" w:hAnsi="Avenir Next LT Pro Light" w:cstheme="minorHAnsi"/>
          <w:b/>
          <w:bCs/>
          <w:sz w:val="22"/>
          <w:szCs w:val="22"/>
          <w:u w:val="single"/>
        </w:rPr>
        <w:t>June</w:t>
      </w:r>
      <w:r w:rsidRPr="00FE7286">
        <w:rPr>
          <w:rFonts w:ascii="Avenir Next LT Pro Light" w:hAnsi="Avenir Next LT Pro Light" w:cstheme="minorHAnsi"/>
          <w:b/>
          <w:bCs/>
          <w:sz w:val="22"/>
          <w:szCs w:val="22"/>
          <w:u w:val="single"/>
        </w:rPr>
        <w:t xml:space="preserve"> 2026 </w:t>
      </w:r>
    </w:p>
    <w:p w14:paraId="4EBBD737" w14:textId="77777777" w:rsidR="008A151F" w:rsidRPr="00FE7286" w:rsidRDefault="008A151F" w:rsidP="008A151F">
      <w:pPr>
        <w:spacing w:line="252" w:lineRule="auto"/>
        <w:ind w:left="-5" w:hanging="10"/>
        <w:rPr>
          <w:rFonts w:ascii="Avenir Next LT Pro Light" w:hAnsi="Avenir Next LT Pro Light" w:cstheme="minorHAnsi"/>
          <w:color w:val="000000" w:themeColor="text1"/>
          <w:sz w:val="22"/>
          <w:szCs w:val="22"/>
        </w:rPr>
      </w:pPr>
      <w:r w:rsidRPr="00FE7286">
        <w:rPr>
          <w:rFonts w:ascii="Avenir Next LT Pro Light" w:hAnsi="Avenir Next LT Pro Light" w:cstheme="minorHAnsi"/>
          <w:color w:val="000000" w:themeColor="text1"/>
          <w:sz w:val="22"/>
          <w:szCs w:val="22"/>
        </w:rPr>
        <w:t>(Note: some outcome measures are *monthly and some *SFY which will be cohort data.</w:t>
      </w:r>
    </w:p>
    <w:p w14:paraId="5DA7F7A8" w14:textId="77777777" w:rsidR="00B54D8F" w:rsidRDefault="00B54D8F" w:rsidP="008A151F">
      <w:pPr>
        <w:spacing w:line="252" w:lineRule="auto"/>
        <w:rPr>
          <w:rFonts w:ascii="Avenir Next LT Pro Light" w:hAnsi="Avenir Next LT Pro Light" w:cstheme="minorHAnsi"/>
          <w:b/>
          <w:bCs/>
          <w:color w:val="000000" w:themeColor="text1"/>
          <w:sz w:val="22"/>
          <w:szCs w:val="22"/>
        </w:rPr>
      </w:pPr>
    </w:p>
    <w:p w14:paraId="173C49E6" w14:textId="3C2B2144" w:rsidR="008A151F" w:rsidRPr="00FE7286" w:rsidRDefault="008A151F" w:rsidP="008A151F">
      <w:pPr>
        <w:spacing w:line="252" w:lineRule="auto"/>
        <w:rPr>
          <w:rFonts w:ascii="Avenir Next LT Pro Light" w:hAnsi="Avenir Next LT Pro Light" w:cstheme="minorHAnsi"/>
          <w:b/>
          <w:bCs/>
          <w:color w:val="000000" w:themeColor="text1"/>
          <w:sz w:val="22"/>
          <w:szCs w:val="22"/>
        </w:rPr>
      </w:pPr>
      <w:r w:rsidRPr="00FE7286">
        <w:rPr>
          <w:rFonts w:ascii="Avenir Next LT Pro Light" w:hAnsi="Avenir Next LT Pro Light" w:cstheme="minorHAnsi"/>
          <w:b/>
          <w:bCs/>
          <w:color w:val="000000" w:themeColor="text1"/>
          <w:sz w:val="22"/>
          <w:szCs w:val="22"/>
        </w:rPr>
        <w:t xml:space="preserve">*CWS 3 – Monthly Case Work Home Visits (Foster Care) – State Goal 95% </w:t>
      </w:r>
    </w:p>
    <w:p w14:paraId="7EEBCC20" w14:textId="77777777" w:rsidR="008A151F" w:rsidRPr="00FE7286" w:rsidRDefault="008A151F" w:rsidP="008A151F">
      <w:pPr>
        <w:spacing w:line="252" w:lineRule="auto"/>
        <w:ind w:left="-5" w:hanging="10"/>
        <w:rPr>
          <w:rFonts w:ascii="Avenir Next LT Pro Light" w:hAnsi="Avenir Next LT Pro Light" w:cstheme="minorHAnsi"/>
          <w:color w:val="000000" w:themeColor="text1"/>
          <w:sz w:val="22"/>
          <w:szCs w:val="22"/>
        </w:rPr>
      </w:pPr>
      <w:r w:rsidRPr="00FE7286">
        <w:rPr>
          <w:rFonts w:ascii="Avenir Next LT Pro Light" w:hAnsi="Avenir Next LT Pro Light" w:cstheme="minorHAnsi"/>
          <w:color w:val="000000" w:themeColor="text1"/>
          <w:sz w:val="22"/>
          <w:szCs w:val="22"/>
        </w:rPr>
        <w:t>Of the number of children in foster care for a full month who had at least one visit:</w:t>
      </w:r>
    </w:p>
    <w:p w14:paraId="3702E415" w14:textId="53EC480D" w:rsidR="008A151F" w:rsidRPr="00FE7286" w:rsidRDefault="0030771E" w:rsidP="008A151F">
      <w:pPr>
        <w:spacing w:line="252" w:lineRule="auto"/>
        <w:ind w:left="-5" w:hanging="10"/>
        <w:rPr>
          <w:rFonts w:ascii="Avenir Next LT Pro Light" w:hAnsi="Avenir Next LT Pro Light" w:cstheme="minorHAnsi"/>
          <w:b/>
          <w:bCs/>
          <w:color w:val="000000" w:themeColor="text1"/>
          <w:sz w:val="22"/>
          <w:szCs w:val="22"/>
        </w:rPr>
      </w:pPr>
      <w:r>
        <w:rPr>
          <w:rFonts w:ascii="Avenir Next LT Pro Light" w:hAnsi="Avenir Next LT Pro Light" w:cstheme="minorHAnsi"/>
          <w:b/>
          <w:bCs/>
          <w:color w:val="000000" w:themeColor="text1"/>
          <w:sz w:val="22"/>
          <w:szCs w:val="22"/>
        </w:rPr>
        <w:t>June</w:t>
      </w:r>
      <w:r w:rsidR="008A151F" w:rsidRPr="00FE7286">
        <w:rPr>
          <w:rFonts w:ascii="Avenir Next LT Pro Light" w:hAnsi="Avenir Next LT Pro Light" w:cstheme="minorHAnsi"/>
          <w:b/>
          <w:bCs/>
          <w:color w:val="000000" w:themeColor="text1"/>
          <w:sz w:val="22"/>
          <w:szCs w:val="22"/>
        </w:rPr>
        <w:t xml:space="preserve"> 2026 – </w:t>
      </w:r>
      <w:r w:rsidR="00FE3520">
        <w:rPr>
          <w:rFonts w:ascii="Avenir Next LT Pro Light" w:hAnsi="Avenir Next LT Pro Light" w:cstheme="minorHAnsi"/>
          <w:b/>
          <w:bCs/>
          <w:color w:val="000000" w:themeColor="text1"/>
          <w:sz w:val="22"/>
          <w:szCs w:val="22"/>
        </w:rPr>
        <w:t>99.43%</w:t>
      </w:r>
    </w:p>
    <w:p w14:paraId="4650153C" w14:textId="77777777" w:rsidR="00692F8B" w:rsidRDefault="00692F8B" w:rsidP="008A151F">
      <w:pPr>
        <w:spacing w:line="252" w:lineRule="auto"/>
        <w:ind w:left="-5" w:hanging="10"/>
        <w:rPr>
          <w:rFonts w:ascii="Avenir Next LT Pro Light" w:hAnsi="Avenir Next LT Pro Light" w:cstheme="minorHAnsi"/>
          <w:color w:val="000000" w:themeColor="text1"/>
          <w:sz w:val="22"/>
          <w:szCs w:val="22"/>
        </w:rPr>
      </w:pPr>
    </w:p>
    <w:p w14:paraId="04F4C83C" w14:textId="1817060E" w:rsidR="008A151F" w:rsidRPr="00FE7286" w:rsidRDefault="008A151F" w:rsidP="008A151F">
      <w:pPr>
        <w:spacing w:line="252" w:lineRule="auto"/>
        <w:ind w:left="-5" w:hanging="10"/>
        <w:rPr>
          <w:rFonts w:ascii="Avenir Next LT Pro Light" w:hAnsi="Avenir Next LT Pro Light" w:cstheme="minorHAnsi"/>
          <w:sz w:val="22"/>
          <w:szCs w:val="22"/>
        </w:rPr>
      </w:pPr>
      <w:r w:rsidRPr="00FE7286">
        <w:rPr>
          <w:rFonts w:ascii="Avenir Next LT Pro Light" w:hAnsi="Avenir Next LT Pro Light" w:cstheme="minorHAnsi"/>
          <w:color w:val="000000" w:themeColor="text1"/>
          <w:sz w:val="22"/>
          <w:szCs w:val="22"/>
        </w:rPr>
        <w:t xml:space="preserve">Of the number of </w:t>
      </w:r>
      <w:r w:rsidRPr="00FE7286">
        <w:rPr>
          <w:rFonts w:ascii="Avenir Next LT Pro Light" w:hAnsi="Avenir Next LT Pro Light" w:cstheme="minorHAnsi"/>
          <w:sz w:val="22"/>
          <w:szCs w:val="22"/>
        </w:rPr>
        <w:t xml:space="preserve">children in foster care for a full month who had a visit </w:t>
      </w:r>
      <w:proofErr w:type="gramStart"/>
      <w:r w:rsidRPr="00FE7286">
        <w:rPr>
          <w:rFonts w:ascii="Avenir Next LT Pro Light" w:hAnsi="Avenir Next LT Pro Light" w:cstheme="minorHAnsi"/>
          <w:sz w:val="22"/>
          <w:szCs w:val="22"/>
        </w:rPr>
        <w:t>in</w:t>
      </w:r>
      <w:proofErr w:type="gramEnd"/>
      <w:r w:rsidRPr="00FE7286">
        <w:rPr>
          <w:rFonts w:ascii="Avenir Next LT Pro Light" w:hAnsi="Avenir Next LT Pro Light" w:cstheme="minorHAnsi"/>
          <w:sz w:val="22"/>
          <w:szCs w:val="22"/>
        </w:rPr>
        <w:t xml:space="preserve"> the home:</w:t>
      </w:r>
    </w:p>
    <w:p w14:paraId="3DB247AA" w14:textId="0D04921D" w:rsidR="008A151F" w:rsidRPr="00FE7286" w:rsidRDefault="0030771E" w:rsidP="008A151F">
      <w:pPr>
        <w:spacing w:line="252" w:lineRule="auto"/>
        <w:ind w:left="-5" w:hanging="10"/>
        <w:rPr>
          <w:rFonts w:ascii="Avenir Next LT Pro Light" w:hAnsi="Avenir Next LT Pro Light" w:cstheme="minorHAnsi"/>
          <w:b/>
          <w:bCs/>
          <w:sz w:val="22"/>
          <w:szCs w:val="22"/>
        </w:rPr>
      </w:pPr>
      <w:r>
        <w:rPr>
          <w:rFonts w:ascii="Avenir Next LT Pro Light" w:hAnsi="Avenir Next LT Pro Light" w:cstheme="minorHAnsi"/>
          <w:b/>
          <w:bCs/>
          <w:sz w:val="22"/>
          <w:szCs w:val="22"/>
        </w:rPr>
        <w:t>June</w:t>
      </w:r>
      <w:r w:rsidR="008A151F" w:rsidRPr="00FE7286">
        <w:rPr>
          <w:rFonts w:ascii="Avenir Next LT Pro Light" w:hAnsi="Avenir Next LT Pro Light" w:cstheme="minorHAnsi"/>
          <w:b/>
          <w:bCs/>
          <w:sz w:val="22"/>
          <w:szCs w:val="22"/>
        </w:rPr>
        <w:t xml:space="preserve"> 2026 – </w:t>
      </w:r>
      <w:r w:rsidR="00FE3520">
        <w:rPr>
          <w:rFonts w:ascii="Avenir Next LT Pro Light" w:hAnsi="Avenir Next LT Pro Light" w:cstheme="minorHAnsi"/>
          <w:b/>
          <w:bCs/>
          <w:sz w:val="22"/>
          <w:szCs w:val="22"/>
        </w:rPr>
        <w:t>99.43%</w:t>
      </w:r>
    </w:p>
    <w:p w14:paraId="7CDA949B" w14:textId="77777777" w:rsidR="00FE3520" w:rsidRDefault="00FE3520" w:rsidP="008A151F">
      <w:pPr>
        <w:rPr>
          <w:rFonts w:ascii="Avenir Next LT Pro Light" w:hAnsi="Avenir Next LT Pro Light" w:cstheme="minorHAnsi"/>
          <w:sz w:val="22"/>
          <w:szCs w:val="22"/>
        </w:rPr>
      </w:pPr>
    </w:p>
    <w:p w14:paraId="7B74227D" w14:textId="03660BAD" w:rsidR="008A151F" w:rsidRPr="007A7532" w:rsidRDefault="008A151F" w:rsidP="008A151F">
      <w:pPr>
        <w:rPr>
          <w:rFonts w:ascii="Avenir Next LT Pro Light" w:hAnsi="Avenir Next LT Pro Light" w:cstheme="minorHAnsi"/>
          <w:b/>
          <w:bCs/>
          <w:sz w:val="22"/>
          <w:szCs w:val="22"/>
        </w:rPr>
      </w:pPr>
      <w:r w:rsidRPr="00FE7286">
        <w:rPr>
          <w:rFonts w:ascii="Avenir Next LT Pro Light" w:hAnsi="Avenir Next LT Pro Light" w:cstheme="minorHAnsi"/>
          <w:sz w:val="22"/>
          <w:szCs w:val="22"/>
        </w:rPr>
        <w:t xml:space="preserve">NOTE: This measure is based on the requirement in section 422(b)(17) of the Social Security Act that requires that states ensure that their children in foster care are visited by a case worker monthly.  </w:t>
      </w:r>
      <w:r w:rsidRPr="00FE7286">
        <w:rPr>
          <w:rFonts w:ascii="Avenir Next LT Pro Light" w:hAnsi="Avenir Next LT Pro Light" w:cstheme="minorHAnsi"/>
          <w:b/>
          <w:bCs/>
          <w:sz w:val="22"/>
          <w:szCs w:val="22"/>
        </w:rPr>
        <w:t>The federal government</w:t>
      </w:r>
      <w:r w:rsidRPr="00FE7286">
        <w:rPr>
          <w:rFonts w:ascii="Avenir Next LT Pro Light" w:hAnsi="Avenir Next LT Pro Light" w:cstheme="minorHAnsi"/>
          <w:sz w:val="22"/>
          <w:szCs w:val="22"/>
        </w:rPr>
        <w:t xml:space="preserve"> monitors states annually on performance.  </w:t>
      </w:r>
      <w:r w:rsidRPr="00FE7286">
        <w:rPr>
          <w:rFonts w:ascii="Avenir Next LT Pro Light" w:hAnsi="Avenir Next LT Pro Light" w:cstheme="minorHAnsi"/>
          <w:b/>
          <w:bCs/>
          <w:sz w:val="22"/>
          <w:szCs w:val="22"/>
        </w:rPr>
        <w:t xml:space="preserve">The performance standard is that 95% of children who are in care for a full month must receive a visit that month and of all the visits that occur in the home 90% must occur in the child's residence.  </w:t>
      </w:r>
    </w:p>
    <w:p w14:paraId="71B96730" w14:textId="77777777" w:rsidR="00B54D8F" w:rsidRDefault="00B54D8F" w:rsidP="008A151F">
      <w:pPr>
        <w:spacing w:after="200" w:line="276" w:lineRule="auto"/>
        <w:rPr>
          <w:rFonts w:ascii="Avenir Next LT Pro Light" w:hAnsi="Avenir Next LT Pro Light" w:cstheme="minorHAnsi"/>
          <w:b/>
          <w:bCs/>
          <w:color w:val="333333"/>
          <w:sz w:val="22"/>
          <w:szCs w:val="22"/>
        </w:rPr>
      </w:pPr>
    </w:p>
    <w:p w14:paraId="315C1E88" w14:textId="0FD4CC97" w:rsidR="008A151F" w:rsidRPr="00FE7286" w:rsidRDefault="008A151F" w:rsidP="008A151F">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hAnsi="Avenir Next LT Pro Light" w:cstheme="minorHAnsi"/>
          <w:b/>
          <w:bCs/>
          <w:color w:val="333333"/>
          <w:sz w:val="22"/>
          <w:szCs w:val="22"/>
        </w:rPr>
        <w:t>*North Carolina has adopted the 95% visitation</w:t>
      </w:r>
      <w:r w:rsidRPr="00FE7286">
        <w:rPr>
          <w:rFonts w:ascii="Avenir Next LT Pro Light" w:hAnsi="Avenir Next LT Pro Light" w:cstheme="minorHAnsi"/>
          <w:color w:val="333333"/>
          <w:sz w:val="22"/>
          <w:szCs w:val="22"/>
        </w:rPr>
        <w:t xml:space="preserve"> standard for HB630 County Performance Measures. While the home visit component is not part of the HB630 Measure, the federal government evaluates statewide performance with penalties for</w:t>
      </w:r>
      <w:r w:rsidR="005F3204">
        <w:rPr>
          <w:rFonts w:ascii="Avenir Next LT Pro Light" w:hAnsi="Avenir Next LT Pro Light" w:cstheme="minorHAnsi"/>
          <w:color w:val="333333"/>
          <w:sz w:val="22"/>
          <w:szCs w:val="22"/>
        </w:rPr>
        <w:t xml:space="preserve"> noncompliance</w:t>
      </w:r>
      <w:r w:rsidR="0030771E">
        <w:rPr>
          <w:rFonts w:ascii="Avenir Next LT Pro Light" w:hAnsi="Avenir Next LT Pro Light" w:cstheme="minorHAnsi"/>
          <w:color w:val="333333"/>
          <w:sz w:val="22"/>
          <w:szCs w:val="22"/>
        </w:rPr>
        <w:t>.</w:t>
      </w:r>
    </w:p>
    <w:p w14:paraId="5B24AB0E" w14:textId="77777777" w:rsidR="00E9272B" w:rsidRDefault="008A151F" w:rsidP="00E9272B">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Community Partners/Collaborations:</w:t>
      </w:r>
    </w:p>
    <w:p w14:paraId="28538F8A" w14:textId="24C9573E" w:rsidR="00B0287A" w:rsidRPr="00E9272B" w:rsidRDefault="00490498" w:rsidP="00E9272B">
      <w:pPr>
        <w:spacing w:after="200" w:line="276" w:lineRule="auto"/>
        <w:rPr>
          <w:rFonts w:ascii="Avenir Next LT Pro Light" w:eastAsia="Aptos" w:hAnsi="Avenir Next LT Pro Light" w:cstheme="minorHAnsi"/>
          <w:b/>
          <w:bCs/>
          <w:color w:val="000000" w:themeColor="text1"/>
          <w:sz w:val="22"/>
          <w:szCs w:val="22"/>
        </w:rPr>
      </w:pPr>
      <w:r w:rsidRPr="00F46598">
        <w:rPr>
          <w:rFonts w:ascii="Avenir Next LT Pro Light" w:hAnsi="Avenir Next LT Pro Light" w:cs="Calibri"/>
          <w:sz w:val="22"/>
          <w:szCs w:val="22"/>
        </w:rPr>
        <w:t>On July 9</w:t>
      </w:r>
      <w:r w:rsidRPr="00F46598">
        <w:rPr>
          <w:rFonts w:ascii="Avenir Next LT Pro Light" w:hAnsi="Avenir Next LT Pro Light" w:cs="Calibri"/>
          <w:sz w:val="22"/>
          <w:szCs w:val="22"/>
          <w:vertAlign w:val="superscript"/>
        </w:rPr>
        <w:t>th</w:t>
      </w:r>
      <w:r w:rsidRPr="00F46598">
        <w:rPr>
          <w:rFonts w:ascii="Avenir Next LT Pro Light" w:hAnsi="Avenir Next LT Pro Light" w:cs="Calibri"/>
          <w:sz w:val="22"/>
          <w:szCs w:val="22"/>
        </w:rPr>
        <w:t xml:space="preserve">, </w:t>
      </w:r>
      <w:r w:rsidR="00301808" w:rsidRPr="00F46598">
        <w:rPr>
          <w:rFonts w:ascii="Avenir Next LT Pro Light" w:hAnsi="Avenir Next LT Pro Light" w:cs="Calibri"/>
          <w:sz w:val="22"/>
          <w:szCs w:val="22"/>
        </w:rPr>
        <w:t>Child and Family Services</w:t>
      </w:r>
      <w:r w:rsidRPr="00F46598">
        <w:rPr>
          <w:rFonts w:ascii="Avenir Next LT Pro Light" w:hAnsi="Avenir Next LT Pro Light" w:cs="Calibri"/>
          <w:sz w:val="22"/>
          <w:szCs w:val="22"/>
        </w:rPr>
        <w:t>’</w:t>
      </w:r>
      <w:r w:rsidR="00301808" w:rsidRPr="00F46598">
        <w:rPr>
          <w:rFonts w:ascii="Avenir Next LT Pro Light" w:hAnsi="Avenir Next LT Pro Light" w:cs="Calibri"/>
          <w:sz w:val="22"/>
          <w:szCs w:val="22"/>
        </w:rPr>
        <w:t xml:space="preserve"> Leadership met with Department of Juvenile Justice</w:t>
      </w:r>
      <w:r w:rsidR="005F2530">
        <w:rPr>
          <w:rFonts w:ascii="Avenir Next LT Pro Light" w:hAnsi="Avenir Next LT Pro Light" w:cs="Calibri"/>
          <w:sz w:val="22"/>
          <w:szCs w:val="22"/>
        </w:rPr>
        <w:t>’s</w:t>
      </w:r>
      <w:r w:rsidR="00301808" w:rsidRPr="00F46598">
        <w:rPr>
          <w:rFonts w:ascii="Avenir Next LT Pro Light" w:hAnsi="Avenir Next LT Pro Light" w:cs="Calibri"/>
          <w:sz w:val="22"/>
          <w:szCs w:val="22"/>
        </w:rPr>
        <w:t xml:space="preserve"> rep</w:t>
      </w:r>
      <w:r w:rsidR="009C624B" w:rsidRPr="00F46598">
        <w:rPr>
          <w:rFonts w:ascii="Avenir Next LT Pro Light" w:hAnsi="Avenir Next LT Pro Light" w:cs="Calibri"/>
          <w:sz w:val="22"/>
          <w:szCs w:val="22"/>
        </w:rPr>
        <w:t>resentatives to strengthen</w:t>
      </w:r>
      <w:r w:rsidR="00CC3C76">
        <w:rPr>
          <w:rFonts w:ascii="Avenir Next LT Pro Light" w:hAnsi="Avenir Next LT Pro Light" w:cs="Calibri"/>
          <w:sz w:val="22"/>
          <w:szCs w:val="22"/>
        </w:rPr>
        <w:t xml:space="preserve"> our</w:t>
      </w:r>
      <w:r w:rsidR="009C624B" w:rsidRPr="00F46598">
        <w:rPr>
          <w:rFonts w:ascii="Avenir Next LT Pro Light" w:hAnsi="Avenir Next LT Pro Light" w:cs="Calibri"/>
          <w:sz w:val="22"/>
          <w:szCs w:val="22"/>
        </w:rPr>
        <w:t xml:space="preserve"> collaborative partnership, clarify agency roles and responsibilities, and identify </w:t>
      </w:r>
      <w:r w:rsidR="00F46598" w:rsidRPr="00F46598">
        <w:rPr>
          <w:rFonts w:ascii="Avenir Next LT Pro Light" w:hAnsi="Avenir Next LT Pro Light" w:cs="Calibri"/>
          <w:sz w:val="22"/>
          <w:szCs w:val="22"/>
        </w:rPr>
        <w:t xml:space="preserve">barriers impacting timely placements </w:t>
      </w:r>
      <w:r w:rsidR="0001006E">
        <w:rPr>
          <w:rFonts w:ascii="Avenir Next LT Pro Light" w:hAnsi="Avenir Next LT Pro Light" w:cs="Calibri"/>
          <w:sz w:val="22"/>
          <w:szCs w:val="22"/>
        </w:rPr>
        <w:t>for</w:t>
      </w:r>
      <w:r w:rsidR="00F46598" w:rsidRPr="00F46598">
        <w:rPr>
          <w:rFonts w:ascii="Avenir Next LT Pro Light" w:hAnsi="Avenir Next LT Pro Light" w:cs="Calibri"/>
          <w:sz w:val="22"/>
          <w:szCs w:val="22"/>
        </w:rPr>
        <w:t xml:space="preserve"> youth with delinquent behaviors.  </w:t>
      </w:r>
    </w:p>
    <w:p w14:paraId="072D71A5" w14:textId="77777777" w:rsidR="008973A5" w:rsidRDefault="008973A5" w:rsidP="008A151F">
      <w:pPr>
        <w:rPr>
          <w:rFonts w:ascii="Avenir Next LT Pro Light" w:hAnsi="Avenir Next LT Pro Light" w:cs="Calibri"/>
          <w:sz w:val="22"/>
          <w:szCs w:val="22"/>
        </w:rPr>
      </w:pPr>
    </w:p>
    <w:p w14:paraId="0548BDAD" w14:textId="25976E09" w:rsidR="008973A5" w:rsidRPr="00F46598" w:rsidRDefault="008973A5" w:rsidP="008A151F">
      <w:pPr>
        <w:rPr>
          <w:rFonts w:ascii="Avenir Next LT Pro Light" w:hAnsi="Avenir Next LT Pro Light" w:cs="Calibri"/>
          <w:sz w:val="22"/>
          <w:szCs w:val="22"/>
        </w:rPr>
      </w:pPr>
      <w:r>
        <w:rPr>
          <w:rFonts w:ascii="Avenir Next LT Pro Light" w:hAnsi="Avenir Next LT Pro Light" w:cs="Calibri"/>
          <w:sz w:val="22"/>
          <w:szCs w:val="22"/>
        </w:rPr>
        <w:t>On July 13</w:t>
      </w:r>
      <w:r w:rsidRPr="008973A5">
        <w:rPr>
          <w:rFonts w:ascii="Avenir Next LT Pro Light" w:hAnsi="Avenir Next LT Pro Light" w:cs="Calibri"/>
          <w:sz w:val="22"/>
          <w:szCs w:val="22"/>
          <w:vertAlign w:val="superscript"/>
        </w:rPr>
        <w:t>th</w:t>
      </w:r>
      <w:r>
        <w:rPr>
          <w:rFonts w:ascii="Avenir Next LT Pro Light" w:hAnsi="Avenir Next LT Pro Light" w:cs="Calibri"/>
          <w:sz w:val="22"/>
          <w:szCs w:val="22"/>
        </w:rPr>
        <w:t>, CPS In</w:t>
      </w:r>
      <w:r w:rsidR="00C96308">
        <w:rPr>
          <w:rFonts w:ascii="Avenir Next LT Pro Light" w:hAnsi="Avenir Next LT Pro Light" w:cs="Calibri"/>
          <w:sz w:val="22"/>
          <w:szCs w:val="22"/>
        </w:rPr>
        <w:t>-Home Leadership met with Foundation for Families to discuss expanding program eli</w:t>
      </w:r>
      <w:r w:rsidR="00024651">
        <w:rPr>
          <w:rFonts w:ascii="Avenir Next LT Pro Light" w:hAnsi="Avenir Next LT Pro Light" w:cs="Calibri"/>
          <w:sz w:val="22"/>
          <w:szCs w:val="22"/>
        </w:rPr>
        <w:t>gibility to serve a broader population of families, incorporating additional Child and Family Services’ program areas, and bro</w:t>
      </w:r>
      <w:r w:rsidR="00877BF1">
        <w:rPr>
          <w:rFonts w:ascii="Avenir Next LT Pro Light" w:hAnsi="Avenir Next LT Pro Light" w:cs="Calibri"/>
          <w:sz w:val="22"/>
          <w:szCs w:val="22"/>
        </w:rPr>
        <w:t xml:space="preserve">adening safety criteria to address community concerns, including gun violence. </w:t>
      </w:r>
    </w:p>
    <w:p w14:paraId="503ED5CA" w14:textId="77777777" w:rsidR="00B0287A" w:rsidRDefault="00B0287A" w:rsidP="008A151F">
      <w:pPr>
        <w:rPr>
          <w:rFonts w:ascii="Avenir Next LT Pro Light" w:hAnsi="Avenir Next LT Pro Light" w:cs="Calibri"/>
          <w:b/>
          <w:bCs/>
          <w:sz w:val="22"/>
          <w:szCs w:val="22"/>
        </w:rPr>
      </w:pPr>
    </w:p>
    <w:p w14:paraId="6D638CC5" w14:textId="5818F369" w:rsidR="008A151F" w:rsidRDefault="008A151F" w:rsidP="008A151F">
      <w:pPr>
        <w:rPr>
          <w:rFonts w:ascii="Avenir Next LT Pro Light" w:hAnsi="Avenir Next LT Pro Light" w:cs="Calibri"/>
          <w:b/>
          <w:bCs/>
          <w:sz w:val="22"/>
          <w:szCs w:val="22"/>
        </w:rPr>
      </w:pPr>
      <w:r>
        <w:rPr>
          <w:rFonts w:ascii="Avenir Next LT Pro Light" w:hAnsi="Avenir Next LT Pro Light" w:cs="Calibri"/>
          <w:b/>
          <w:bCs/>
          <w:sz w:val="22"/>
          <w:szCs w:val="22"/>
        </w:rPr>
        <w:t>Vacancies:</w:t>
      </w:r>
    </w:p>
    <w:p w14:paraId="1F1C4898" w14:textId="715F65E3" w:rsidR="008A151F" w:rsidRDefault="008A151F" w:rsidP="008A151F">
      <w:pPr>
        <w:rPr>
          <w:rFonts w:ascii="Avenir Next LT Pro Light" w:hAnsi="Avenir Next LT Pro Light" w:cs="Calibri"/>
          <w:b/>
          <w:bCs/>
          <w:sz w:val="22"/>
          <w:szCs w:val="22"/>
        </w:rPr>
      </w:pPr>
      <w:r w:rsidRPr="00654C8A">
        <w:rPr>
          <w:rFonts w:ascii="Avenir Next LT Pro Light" w:hAnsi="Avenir Next LT Pro Light" w:cs="Calibri"/>
          <w:sz w:val="22"/>
          <w:szCs w:val="22"/>
        </w:rPr>
        <w:t xml:space="preserve">Social Work Supervisors: </w:t>
      </w:r>
      <w:r w:rsidR="00F46AAA">
        <w:rPr>
          <w:rFonts w:ascii="Avenir Next LT Pro Light" w:hAnsi="Avenir Next LT Pro Light" w:cs="Calibri"/>
          <w:sz w:val="22"/>
          <w:szCs w:val="22"/>
        </w:rPr>
        <w:t>4</w:t>
      </w:r>
    </w:p>
    <w:p w14:paraId="1B19BFC5" w14:textId="01AF67D8" w:rsidR="008A151F" w:rsidRDefault="008A151F" w:rsidP="008A151F">
      <w:pPr>
        <w:rPr>
          <w:rFonts w:ascii="Avenir Next LT Pro Light" w:hAnsi="Avenir Next LT Pro Light" w:cs="Calibri"/>
          <w:b/>
          <w:bCs/>
          <w:sz w:val="22"/>
          <w:szCs w:val="22"/>
        </w:rPr>
      </w:pPr>
      <w:r w:rsidRPr="00654C8A">
        <w:rPr>
          <w:rFonts w:ascii="Avenir Next LT Pro Light" w:hAnsi="Avenir Next LT Pro Light" w:cs="Calibri"/>
          <w:sz w:val="22"/>
          <w:szCs w:val="22"/>
        </w:rPr>
        <w:t>CWSW</w:t>
      </w:r>
      <w:r>
        <w:rPr>
          <w:rFonts w:ascii="Avenir Next LT Pro Light" w:hAnsi="Avenir Next LT Pro Light" w:cs="Calibri"/>
          <w:sz w:val="22"/>
          <w:szCs w:val="22"/>
        </w:rPr>
        <w:t>s</w:t>
      </w:r>
      <w:r w:rsidRPr="00654C8A">
        <w:rPr>
          <w:rFonts w:ascii="Avenir Next LT Pro Light" w:hAnsi="Avenir Next LT Pro Light" w:cs="Calibri"/>
          <w:sz w:val="22"/>
          <w:szCs w:val="22"/>
        </w:rPr>
        <w:t xml:space="preserve">: </w:t>
      </w:r>
      <w:r>
        <w:rPr>
          <w:rFonts w:ascii="Avenir Next LT Pro Light" w:hAnsi="Avenir Next LT Pro Light" w:cs="Calibri"/>
          <w:sz w:val="22"/>
          <w:szCs w:val="22"/>
        </w:rPr>
        <w:t>1</w:t>
      </w:r>
      <w:r w:rsidR="007124D3">
        <w:rPr>
          <w:rFonts w:ascii="Avenir Next LT Pro Light" w:hAnsi="Avenir Next LT Pro Light" w:cs="Calibri"/>
          <w:sz w:val="22"/>
          <w:szCs w:val="22"/>
        </w:rPr>
        <w:t>2</w:t>
      </w:r>
      <w:r w:rsidRPr="00654C8A">
        <w:rPr>
          <w:rFonts w:ascii="Avenir Next LT Pro Light" w:hAnsi="Avenir Next LT Pro Light" w:cs="Calibri"/>
          <w:sz w:val="22"/>
          <w:szCs w:val="22"/>
        </w:rPr>
        <w:t xml:space="preserve"> </w:t>
      </w:r>
    </w:p>
    <w:p w14:paraId="45DEA628" w14:textId="77777777" w:rsidR="008A151F" w:rsidRPr="00AD1622" w:rsidRDefault="008A151F" w:rsidP="008A151F">
      <w:pPr>
        <w:rPr>
          <w:rFonts w:ascii="Avenir Next LT Pro Light" w:hAnsi="Avenir Next LT Pro Light" w:cs="Calibri"/>
          <w:b/>
          <w:bCs/>
          <w:sz w:val="22"/>
          <w:szCs w:val="22"/>
        </w:rPr>
      </w:pPr>
      <w:r w:rsidRPr="00654C8A">
        <w:rPr>
          <w:rFonts w:ascii="Avenir Next LT Pro Light" w:hAnsi="Avenir Next LT Pro Light" w:cs="Calibri"/>
          <w:sz w:val="22"/>
          <w:szCs w:val="22"/>
        </w:rPr>
        <w:t>CSSA: 1</w:t>
      </w:r>
    </w:p>
    <w:p w14:paraId="09993236" w14:textId="38F44CF8" w:rsidR="008A151F" w:rsidRDefault="008A151F" w:rsidP="008A151F">
      <w:pPr>
        <w:rPr>
          <w:rFonts w:ascii="Avenir Next LT Pro Light" w:hAnsi="Avenir Next LT Pro Light" w:cs="Calibri"/>
          <w:sz w:val="22"/>
          <w:szCs w:val="22"/>
        </w:rPr>
      </w:pPr>
      <w:r w:rsidRPr="00654C8A">
        <w:rPr>
          <w:rFonts w:ascii="Avenir Next LT Pro Light" w:hAnsi="Avenir Next LT Pro Light" w:cs="Calibri"/>
          <w:sz w:val="22"/>
          <w:szCs w:val="22"/>
        </w:rPr>
        <w:t>Social Worker II</w:t>
      </w:r>
      <w:r w:rsidR="00DF0DB9">
        <w:rPr>
          <w:rFonts w:ascii="Avenir Next LT Pro Light" w:hAnsi="Avenir Next LT Pro Light" w:cs="Calibri"/>
          <w:sz w:val="22"/>
          <w:szCs w:val="22"/>
        </w:rPr>
        <w:t>I</w:t>
      </w:r>
      <w:r w:rsidRPr="00654C8A">
        <w:rPr>
          <w:rFonts w:ascii="Avenir Next LT Pro Light" w:hAnsi="Avenir Next LT Pro Light" w:cs="Calibri"/>
          <w:sz w:val="22"/>
          <w:szCs w:val="22"/>
        </w:rPr>
        <w:t>: 1</w:t>
      </w:r>
    </w:p>
    <w:p w14:paraId="27A090CF" w14:textId="0F398855" w:rsidR="00DF0DB9" w:rsidRPr="00654C8A" w:rsidRDefault="00DF0DB9" w:rsidP="008A151F">
      <w:pPr>
        <w:rPr>
          <w:rFonts w:ascii="Avenir Next LT Pro Light" w:hAnsi="Avenir Next LT Pro Light" w:cs="Calibri"/>
          <w:sz w:val="22"/>
          <w:szCs w:val="22"/>
        </w:rPr>
      </w:pPr>
      <w:r>
        <w:rPr>
          <w:rFonts w:ascii="Avenir Next LT Pro Light" w:hAnsi="Avenir Next LT Pro Light" w:cs="Calibri"/>
          <w:sz w:val="22"/>
          <w:szCs w:val="22"/>
        </w:rPr>
        <w:t>Social Worker II:1</w:t>
      </w:r>
    </w:p>
    <w:p w14:paraId="552807C0" w14:textId="77777777" w:rsidR="008A151F" w:rsidRDefault="008A151F" w:rsidP="008A151F">
      <w:pPr>
        <w:rPr>
          <w:rFonts w:ascii="Avenir Next LT Pro Light" w:hAnsi="Avenir Next LT Pro Light" w:cs="Calibri"/>
          <w:b/>
          <w:bCs/>
          <w:sz w:val="22"/>
          <w:szCs w:val="22"/>
        </w:rPr>
      </w:pPr>
    </w:p>
    <w:p w14:paraId="7BBE2B2F" w14:textId="77777777" w:rsidR="008A151F" w:rsidRDefault="008A151F" w:rsidP="008A151F">
      <w:pPr>
        <w:rPr>
          <w:rFonts w:ascii="Avenir Next LT Pro Light" w:hAnsi="Avenir Next LT Pro Light" w:cs="Calibri"/>
          <w:b/>
          <w:bCs/>
          <w:sz w:val="22"/>
          <w:szCs w:val="22"/>
        </w:rPr>
      </w:pPr>
      <w:r w:rsidRPr="00FE7286">
        <w:rPr>
          <w:rFonts w:ascii="Avenir Next LT Pro Light" w:hAnsi="Avenir Next LT Pro Light" w:cs="Calibri"/>
          <w:b/>
          <w:bCs/>
          <w:sz w:val="22"/>
          <w:szCs w:val="22"/>
        </w:rPr>
        <w:lastRenderedPageBreak/>
        <w:t>Challenges/Barriers:</w:t>
      </w:r>
    </w:p>
    <w:p w14:paraId="1B0749EA" w14:textId="57F16250" w:rsidR="008A151F" w:rsidRDefault="000742A5" w:rsidP="008A151F">
      <w:pPr>
        <w:rPr>
          <w:rFonts w:ascii="Avenir Next LT Pro Light" w:hAnsi="Avenir Next LT Pro Light" w:cs="Calibri"/>
          <w:sz w:val="22"/>
          <w:szCs w:val="22"/>
        </w:rPr>
      </w:pPr>
      <w:r>
        <w:rPr>
          <w:rFonts w:ascii="Avenir Next LT Pro Light" w:hAnsi="Avenir Next LT Pro Light" w:cs="Calibri"/>
          <w:sz w:val="22"/>
          <w:szCs w:val="22"/>
        </w:rPr>
        <w:t>F</w:t>
      </w:r>
      <w:r w:rsidR="006B48F5">
        <w:rPr>
          <w:rFonts w:ascii="Avenir Next LT Pro Light" w:hAnsi="Avenir Next LT Pro Light" w:cs="Calibri"/>
          <w:sz w:val="22"/>
          <w:szCs w:val="22"/>
        </w:rPr>
        <w:t xml:space="preserve">illing vacancies timely and </w:t>
      </w:r>
      <w:r w:rsidR="004371B5">
        <w:rPr>
          <w:rFonts w:ascii="Avenir Next LT Pro Light" w:hAnsi="Avenir Next LT Pro Light" w:cs="Calibri"/>
          <w:sz w:val="22"/>
          <w:szCs w:val="22"/>
        </w:rPr>
        <w:t>PATH NC operations</w:t>
      </w:r>
      <w:r>
        <w:rPr>
          <w:rFonts w:ascii="Avenir Next LT Pro Light" w:hAnsi="Avenir Next LT Pro Light" w:cs="Calibri"/>
          <w:sz w:val="22"/>
          <w:szCs w:val="22"/>
        </w:rPr>
        <w:t xml:space="preserve"> </w:t>
      </w:r>
      <w:r w:rsidR="00D03827">
        <w:rPr>
          <w:rFonts w:ascii="Avenir Next LT Pro Light" w:hAnsi="Avenir Next LT Pro Light" w:cs="Calibri"/>
          <w:sz w:val="22"/>
          <w:szCs w:val="22"/>
        </w:rPr>
        <w:t xml:space="preserve">continue to be </w:t>
      </w:r>
      <w:r w:rsidR="00943FC5">
        <w:rPr>
          <w:rFonts w:ascii="Avenir Next LT Pro Light" w:hAnsi="Avenir Next LT Pro Light" w:cs="Calibri"/>
          <w:sz w:val="22"/>
          <w:szCs w:val="22"/>
        </w:rPr>
        <w:t>challenges; PATH</w:t>
      </w:r>
      <w:r w:rsidR="004371B5">
        <w:rPr>
          <w:rFonts w:ascii="Avenir Next LT Pro Light" w:hAnsi="Avenir Next LT Pro Light" w:cs="Calibri"/>
          <w:sz w:val="22"/>
          <w:szCs w:val="22"/>
        </w:rPr>
        <w:t xml:space="preserve"> NC updates impact the sy</w:t>
      </w:r>
      <w:r w:rsidR="00517195">
        <w:rPr>
          <w:rFonts w:ascii="Avenir Next LT Pro Light" w:hAnsi="Avenir Next LT Pro Light" w:cs="Calibri"/>
          <w:sz w:val="22"/>
          <w:szCs w:val="22"/>
        </w:rPr>
        <w:t>stem on weekend</w:t>
      </w:r>
      <w:r w:rsidR="00C95DED">
        <w:rPr>
          <w:rFonts w:ascii="Avenir Next LT Pro Light" w:hAnsi="Avenir Next LT Pro Light" w:cs="Calibri"/>
          <w:sz w:val="22"/>
          <w:szCs w:val="22"/>
        </w:rPr>
        <w:t xml:space="preserve">s. </w:t>
      </w:r>
    </w:p>
    <w:p w14:paraId="01AB63B6" w14:textId="77777777" w:rsidR="008A151F" w:rsidRPr="005F7194" w:rsidRDefault="008A151F" w:rsidP="008A151F">
      <w:pPr>
        <w:rPr>
          <w:rFonts w:ascii="Avenir Next LT Pro Light" w:hAnsi="Avenir Next LT Pro Light"/>
          <w:sz w:val="22"/>
          <w:szCs w:val="22"/>
        </w:rPr>
      </w:pPr>
    </w:p>
    <w:p w14:paraId="17B4CA00" w14:textId="77777777" w:rsidR="0031398B" w:rsidRPr="00FE7286" w:rsidRDefault="0031398B" w:rsidP="00DA57C8">
      <w:pPr>
        <w:rPr>
          <w:rFonts w:ascii="Avenir Next LT Pro Light" w:hAnsi="Avenir Next LT Pro Light" w:cs="Calibri"/>
          <w:sz w:val="22"/>
          <w:szCs w:val="22"/>
        </w:rPr>
      </w:pPr>
    </w:p>
    <w:sectPr w:rsidR="0031398B" w:rsidRPr="00FE7286"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B8C0" w14:textId="77777777" w:rsidR="000764BB" w:rsidRDefault="000764BB">
      <w:r>
        <w:separator/>
      </w:r>
    </w:p>
  </w:endnote>
  <w:endnote w:type="continuationSeparator" w:id="0">
    <w:p w14:paraId="02F13442" w14:textId="77777777" w:rsidR="000764BB" w:rsidRDefault="0007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72 Light">
    <w:panose1 w:val="020B0303030000000003"/>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FA4FF8">
      <w:rPr>
        <w:rFonts w:ascii="Calibri" w:hAnsi="Calibri"/>
        <w:color w:val="3576BC"/>
        <w:sz w:val="18"/>
        <w:szCs w:val="18"/>
      </w:rPr>
      <w:t xml:space="preserve">Post Office Box 810 </w:t>
    </w:r>
    <w:r w:rsidR="00E86DC9" w:rsidRPr="00FA4FF8">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FA4FF8">
      <w:rPr>
        <w:rFonts w:ascii="Calibri" w:hAnsi="Calibri"/>
        <w:color w:val="3576BC"/>
        <w:sz w:val="18"/>
        <w:szCs w:val="18"/>
      </w:rPr>
      <w:t xml:space="preserve">Durham, North Carolina 27702 </w:t>
    </w:r>
    <w:r w:rsidR="00E86DC9" w:rsidRPr="00FA4FF8">
      <w:rPr>
        <w:rFonts w:ascii="Wingdings" w:hAnsi="Wingdings"/>
        <w:color w:val="607E0D"/>
        <w:sz w:val="18"/>
        <w:szCs w:val="18"/>
      </w:rPr>
      <w:t></w:t>
    </w:r>
    <w:r w:rsidR="00E86DC9" w:rsidRPr="00FA4FF8">
      <w:rPr>
        <w:rFonts w:ascii="Calibri" w:hAnsi="Calibri"/>
        <w:color w:val="3576BC"/>
        <w:sz w:val="18"/>
        <w:szCs w:val="18"/>
      </w:rPr>
      <w:t xml:space="preserve"> (919) 560-8000 </w:t>
    </w:r>
    <w:r w:rsidR="00E86DC9" w:rsidRPr="00FA4FF8">
      <w:rPr>
        <w:rFonts w:ascii="Wingdings" w:hAnsi="Wingdings"/>
        <w:color w:val="607E0D"/>
        <w:sz w:val="18"/>
        <w:szCs w:val="18"/>
      </w:rPr>
      <w:t></w:t>
    </w:r>
    <w:r w:rsidR="00E86DC9" w:rsidRPr="00FA4FF8">
      <w:rPr>
        <w:rFonts w:ascii="Calibri" w:hAnsi="Calibri"/>
        <w:color w:val="3576BC"/>
        <w:sz w:val="18"/>
        <w:szCs w:val="18"/>
      </w:rPr>
      <w:t xml:space="preserve"> www.</w:t>
    </w:r>
    <w:hyperlink r:id="rId1" w:history="1">
      <w:r w:rsidR="00E86DC9" w:rsidRPr="00FA4FF8">
        <w:rPr>
          <w:rStyle w:val="Hyperlink"/>
          <w:rFonts w:ascii="Calibri" w:hAnsi="Calibri"/>
          <w:color w:val="3576BC"/>
          <w:sz w:val="18"/>
          <w:szCs w:val="18"/>
          <w:u w:val="none"/>
        </w:rPr>
        <w:t>dconc.gov</w:t>
      </w:r>
    </w:hyperlink>
  </w:p>
  <w:p w14:paraId="66F1581F" w14:textId="6F731DE9" w:rsidR="00E90818" w:rsidRPr="00FA4FF8" w:rsidRDefault="00EA0CB0" w:rsidP="00EA0CB0">
    <w:pPr>
      <w:shd w:val="clear" w:color="auto" w:fill="FFFFFF"/>
      <w:jc w:val="center"/>
      <w:rPr>
        <w:rFonts w:ascii="Perpetua" w:hAnsi="Perpetua"/>
        <w:color w:val="3576BC"/>
        <w:sz w:val="18"/>
        <w:szCs w:val="18"/>
      </w:rPr>
    </w:pPr>
    <w:r w:rsidRPr="00FA4FF8">
      <w:rPr>
        <w:rFonts w:ascii="Perpetua" w:hAnsi="Perpetua"/>
        <w:color w:val="3576BC"/>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C615" w14:textId="77777777" w:rsidR="000764BB" w:rsidRDefault="000764BB">
      <w:r>
        <w:separator/>
      </w:r>
    </w:p>
  </w:footnote>
  <w:footnote w:type="continuationSeparator" w:id="0">
    <w:p w14:paraId="46C32772" w14:textId="77777777" w:rsidR="000764BB" w:rsidRDefault="0007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157A1"/>
    <w:multiLevelType w:val="hybridMultilevel"/>
    <w:tmpl w:val="D7F6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70592">
    <w:abstractNumId w:val="8"/>
  </w:num>
  <w:num w:numId="2" w16cid:durableId="1793355967">
    <w:abstractNumId w:val="0"/>
  </w:num>
  <w:num w:numId="3" w16cid:durableId="1020160568">
    <w:abstractNumId w:val="7"/>
  </w:num>
  <w:num w:numId="4" w16cid:durableId="1060710018">
    <w:abstractNumId w:val="2"/>
  </w:num>
  <w:num w:numId="5" w16cid:durableId="1180316403">
    <w:abstractNumId w:val="6"/>
  </w:num>
  <w:num w:numId="6" w16cid:durableId="290944062">
    <w:abstractNumId w:val="4"/>
  </w:num>
  <w:num w:numId="7" w16cid:durableId="233249497">
    <w:abstractNumId w:val="5"/>
  </w:num>
  <w:num w:numId="8" w16cid:durableId="739450668">
    <w:abstractNumId w:val="1"/>
  </w:num>
  <w:num w:numId="9" w16cid:durableId="123355896">
    <w:abstractNumId w:val="9"/>
  </w:num>
  <w:num w:numId="10" w16cid:durableId="731776167">
    <w:abstractNumId w:val="3"/>
  </w:num>
  <w:num w:numId="11" w16cid:durableId="9371315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05B30"/>
    <w:rsid w:val="0001006E"/>
    <w:rsid w:val="00012F51"/>
    <w:rsid w:val="00014E53"/>
    <w:rsid w:val="00017097"/>
    <w:rsid w:val="000172B7"/>
    <w:rsid w:val="00024651"/>
    <w:rsid w:val="00036ACF"/>
    <w:rsid w:val="00037C10"/>
    <w:rsid w:val="00043666"/>
    <w:rsid w:val="0004415C"/>
    <w:rsid w:val="00050D92"/>
    <w:rsid w:val="00052967"/>
    <w:rsid w:val="00053F62"/>
    <w:rsid w:val="0006193F"/>
    <w:rsid w:val="00064911"/>
    <w:rsid w:val="000742A5"/>
    <w:rsid w:val="000764BB"/>
    <w:rsid w:val="000769F7"/>
    <w:rsid w:val="0007711A"/>
    <w:rsid w:val="000774D1"/>
    <w:rsid w:val="00080D70"/>
    <w:rsid w:val="00081F0B"/>
    <w:rsid w:val="000844E6"/>
    <w:rsid w:val="00084938"/>
    <w:rsid w:val="00084E93"/>
    <w:rsid w:val="00085298"/>
    <w:rsid w:val="0008592B"/>
    <w:rsid w:val="00086F65"/>
    <w:rsid w:val="000927A4"/>
    <w:rsid w:val="000930C5"/>
    <w:rsid w:val="00094634"/>
    <w:rsid w:val="00095911"/>
    <w:rsid w:val="000A04C1"/>
    <w:rsid w:val="000A4B90"/>
    <w:rsid w:val="000A5CE0"/>
    <w:rsid w:val="000A5DF4"/>
    <w:rsid w:val="000B1937"/>
    <w:rsid w:val="000B7E2A"/>
    <w:rsid w:val="000C1458"/>
    <w:rsid w:val="000C16F2"/>
    <w:rsid w:val="000C21CE"/>
    <w:rsid w:val="000D3580"/>
    <w:rsid w:val="000D7415"/>
    <w:rsid w:val="000E216F"/>
    <w:rsid w:val="000E572D"/>
    <w:rsid w:val="000F0A60"/>
    <w:rsid w:val="000F0FF6"/>
    <w:rsid w:val="00103138"/>
    <w:rsid w:val="00104303"/>
    <w:rsid w:val="001055E9"/>
    <w:rsid w:val="001069D7"/>
    <w:rsid w:val="00111B5F"/>
    <w:rsid w:val="001205FA"/>
    <w:rsid w:val="00121B19"/>
    <w:rsid w:val="00123282"/>
    <w:rsid w:val="00136E2F"/>
    <w:rsid w:val="001412A8"/>
    <w:rsid w:val="00141325"/>
    <w:rsid w:val="00141E04"/>
    <w:rsid w:val="00142329"/>
    <w:rsid w:val="001427EB"/>
    <w:rsid w:val="001468A0"/>
    <w:rsid w:val="001472D8"/>
    <w:rsid w:val="00151FD3"/>
    <w:rsid w:val="001526F4"/>
    <w:rsid w:val="00152E3F"/>
    <w:rsid w:val="00156D97"/>
    <w:rsid w:val="001573DF"/>
    <w:rsid w:val="00163DA9"/>
    <w:rsid w:val="00164644"/>
    <w:rsid w:val="00164F48"/>
    <w:rsid w:val="00165BC3"/>
    <w:rsid w:val="001723D5"/>
    <w:rsid w:val="00173BCA"/>
    <w:rsid w:val="00176090"/>
    <w:rsid w:val="001843FB"/>
    <w:rsid w:val="001844AA"/>
    <w:rsid w:val="00186D04"/>
    <w:rsid w:val="0019227F"/>
    <w:rsid w:val="00192BFF"/>
    <w:rsid w:val="00194404"/>
    <w:rsid w:val="00196781"/>
    <w:rsid w:val="001A0495"/>
    <w:rsid w:val="001A3538"/>
    <w:rsid w:val="001B3291"/>
    <w:rsid w:val="001B4EEC"/>
    <w:rsid w:val="001C33DE"/>
    <w:rsid w:val="001C4C99"/>
    <w:rsid w:val="001D3D80"/>
    <w:rsid w:val="001D40D8"/>
    <w:rsid w:val="001D5014"/>
    <w:rsid w:val="001D70F3"/>
    <w:rsid w:val="001D779D"/>
    <w:rsid w:val="001D7D6A"/>
    <w:rsid w:val="001E07F5"/>
    <w:rsid w:val="001E0834"/>
    <w:rsid w:val="001E2CE5"/>
    <w:rsid w:val="001E582A"/>
    <w:rsid w:val="001F02C9"/>
    <w:rsid w:val="001F0B2A"/>
    <w:rsid w:val="001F1776"/>
    <w:rsid w:val="001F4748"/>
    <w:rsid w:val="001F7016"/>
    <w:rsid w:val="00201939"/>
    <w:rsid w:val="0020261A"/>
    <w:rsid w:val="00202BB0"/>
    <w:rsid w:val="00207EB4"/>
    <w:rsid w:val="00210619"/>
    <w:rsid w:val="00211034"/>
    <w:rsid w:val="00211E44"/>
    <w:rsid w:val="00213BA9"/>
    <w:rsid w:val="00214AB6"/>
    <w:rsid w:val="002152D0"/>
    <w:rsid w:val="00220994"/>
    <w:rsid w:val="0022147E"/>
    <w:rsid w:val="00221532"/>
    <w:rsid w:val="00221D77"/>
    <w:rsid w:val="0022342A"/>
    <w:rsid w:val="0022505F"/>
    <w:rsid w:val="00225BC6"/>
    <w:rsid w:val="0023248B"/>
    <w:rsid w:val="00233B6E"/>
    <w:rsid w:val="002408FC"/>
    <w:rsid w:val="00241704"/>
    <w:rsid w:val="002417BE"/>
    <w:rsid w:val="0024580E"/>
    <w:rsid w:val="002472AE"/>
    <w:rsid w:val="00250519"/>
    <w:rsid w:val="002527FA"/>
    <w:rsid w:val="00254DB1"/>
    <w:rsid w:val="00255ADB"/>
    <w:rsid w:val="002571F9"/>
    <w:rsid w:val="00264A9C"/>
    <w:rsid w:val="002655C5"/>
    <w:rsid w:val="0026565F"/>
    <w:rsid w:val="002659F1"/>
    <w:rsid w:val="002703F2"/>
    <w:rsid w:val="00270FED"/>
    <w:rsid w:val="002712BE"/>
    <w:rsid w:val="00271646"/>
    <w:rsid w:val="00277042"/>
    <w:rsid w:val="0028032A"/>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808"/>
    <w:rsid w:val="00301C6A"/>
    <w:rsid w:val="003074DF"/>
    <w:rsid w:val="0030771E"/>
    <w:rsid w:val="00311216"/>
    <w:rsid w:val="0031161F"/>
    <w:rsid w:val="0031398B"/>
    <w:rsid w:val="00315637"/>
    <w:rsid w:val="00320F49"/>
    <w:rsid w:val="0032225C"/>
    <w:rsid w:val="00324118"/>
    <w:rsid w:val="00325D00"/>
    <w:rsid w:val="003269D4"/>
    <w:rsid w:val="003335B1"/>
    <w:rsid w:val="00333DCC"/>
    <w:rsid w:val="0033619C"/>
    <w:rsid w:val="00342474"/>
    <w:rsid w:val="00345B11"/>
    <w:rsid w:val="003504B3"/>
    <w:rsid w:val="0035787B"/>
    <w:rsid w:val="0036527A"/>
    <w:rsid w:val="0037185C"/>
    <w:rsid w:val="00375750"/>
    <w:rsid w:val="003767FD"/>
    <w:rsid w:val="003817F7"/>
    <w:rsid w:val="00383899"/>
    <w:rsid w:val="00383A73"/>
    <w:rsid w:val="00385591"/>
    <w:rsid w:val="00386694"/>
    <w:rsid w:val="003923FE"/>
    <w:rsid w:val="00393287"/>
    <w:rsid w:val="00394EA5"/>
    <w:rsid w:val="003A0F88"/>
    <w:rsid w:val="003A3827"/>
    <w:rsid w:val="003C09A2"/>
    <w:rsid w:val="003C0AD7"/>
    <w:rsid w:val="003C1D74"/>
    <w:rsid w:val="003C20D8"/>
    <w:rsid w:val="003C2F5A"/>
    <w:rsid w:val="003C6413"/>
    <w:rsid w:val="003D21C2"/>
    <w:rsid w:val="003E18F9"/>
    <w:rsid w:val="003F43E2"/>
    <w:rsid w:val="003F6887"/>
    <w:rsid w:val="0040108B"/>
    <w:rsid w:val="00402668"/>
    <w:rsid w:val="00405B2E"/>
    <w:rsid w:val="00406034"/>
    <w:rsid w:val="00406DE1"/>
    <w:rsid w:val="0040778E"/>
    <w:rsid w:val="00412B13"/>
    <w:rsid w:val="00412F7E"/>
    <w:rsid w:val="00413548"/>
    <w:rsid w:val="00413B33"/>
    <w:rsid w:val="00420C3A"/>
    <w:rsid w:val="00422DCC"/>
    <w:rsid w:val="00432C7D"/>
    <w:rsid w:val="004371B5"/>
    <w:rsid w:val="00441C26"/>
    <w:rsid w:val="00444F85"/>
    <w:rsid w:val="00446376"/>
    <w:rsid w:val="004515B4"/>
    <w:rsid w:val="00452462"/>
    <w:rsid w:val="00452652"/>
    <w:rsid w:val="00456580"/>
    <w:rsid w:val="00456F54"/>
    <w:rsid w:val="00457100"/>
    <w:rsid w:val="00460BF6"/>
    <w:rsid w:val="00463136"/>
    <w:rsid w:val="00463143"/>
    <w:rsid w:val="00463286"/>
    <w:rsid w:val="00470F91"/>
    <w:rsid w:val="00477527"/>
    <w:rsid w:val="004837C6"/>
    <w:rsid w:val="00490498"/>
    <w:rsid w:val="00490C27"/>
    <w:rsid w:val="004934D5"/>
    <w:rsid w:val="00495809"/>
    <w:rsid w:val="004A0D6A"/>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E7190"/>
    <w:rsid w:val="004F32DA"/>
    <w:rsid w:val="004F39BC"/>
    <w:rsid w:val="004F4F2D"/>
    <w:rsid w:val="00500930"/>
    <w:rsid w:val="00501FF5"/>
    <w:rsid w:val="00502651"/>
    <w:rsid w:val="00503A93"/>
    <w:rsid w:val="00503AD9"/>
    <w:rsid w:val="00505805"/>
    <w:rsid w:val="00507C1B"/>
    <w:rsid w:val="00511B4F"/>
    <w:rsid w:val="00513EF5"/>
    <w:rsid w:val="005154F0"/>
    <w:rsid w:val="0051588A"/>
    <w:rsid w:val="00517195"/>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76896"/>
    <w:rsid w:val="005839D9"/>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B81"/>
    <w:rsid w:val="005C2FBA"/>
    <w:rsid w:val="005C5C48"/>
    <w:rsid w:val="005C7F01"/>
    <w:rsid w:val="005D058A"/>
    <w:rsid w:val="005D083F"/>
    <w:rsid w:val="005D12CC"/>
    <w:rsid w:val="005D26CD"/>
    <w:rsid w:val="005D5880"/>
    <w:rsid w:val="005D746E"/>
    <w:rsid w:val="005E0700"/>
    <w:rsid w:val="005E41C0"/>
    <w:rsid w:val="005E4B89"/>
    <w:rsid w:val="005F1F0A"/>
    <w:rsid w:val="005F2530"/>
    <w:rsid w:val="005F3204"/>
    <w:rsid w:val="005F3A62"/>
    <w:rsid w:val="005F4BE1"/>
    <w:rsid w:val="005F5457"/>
    <w:rsid w:val="005F54E8"/>
    <w:rsid w:val="005F7F3D"/>
    <w:rsid w:val="00601DD2"/>
    <w:rsid w:val="00602B88"/>
    <w:rsid w:val="0060591E"/>
    <w:rsid w:val="00605FA2"/>
    <w:rsid w:val="00607525"/>
    <w:rsid w:val="0061139E"/>
    <w:rsid w:val="00611618"/>
    <w:rsid w:val="00613904"/>
    <w:rsid w:val="006170D8"/>
    <w:rsid w:val="00617AE5"/>
    <w:rsid w:val="0062362F"/>
    <w:rsid w:val="0062601D"/>
    <w:rsid w:val="0063076C"/>
    <w:rsid w:val="00630BCD"/>
    <w:rsid w:val="00633A50"/>
    <w:rsid w:val="00635264"/>
    <w:rsid w:val="00637458"/>
    <w:rsid w:val="00637A2B"/>
    <w:rsid w:val="006401B0"/>
    <w:rsid w:val="006402EF"/>
    <w:rsid w:val="00645F6F"/>
    <w:rsid w:val="00650F46"/>
    <w:rsid w:val="006516FC"/>
    <w:rsid w:val="00653102"/>
    <w:rsid w:val="006619C0"/>
    <w:rsid w:val="00663D43"/>
    <w:rsid w:val="006704FA"/>
    <w:rsid w:val="0067261B"/>
    <w:rsid w:val="00673A7F"/>
    <w:rsid w:val="006766D2"/>
    <w:rsid w:val="00680921"/>
    <w:rsid w:val="006828A3"/>
    <w:rsid w:val="00682B84"/>
    <w:rsid w:val="00687322"/>
    <w:rsid w:val="00690A1B"/>
    <w:rsid w:val="00690BFB"/>
    <w:rsid w:val="00692F8B"/>
    <w:rsid w:val="00694509"/>
    <w:rsid w:val="006A20BA"/>
    <w:rsid w:val="006A28E6"/>
    <w:rsid w:val="006A37EB"/>
    <w:rsid w:val="006A3931"/>
    <w:rsid w:val="006B03DD"/>
    <w:rsid w:val="006B07D5"/>
    <w:rsid w:val="006B48F5"/>
    <w:rsid w:val="006C02D4"/>
    <w:rsid w:val="006C37A8"/>
    <w:rsid w:val="006C4908"/>
    <w:rsid w:val="006D3D6A"/>
    <w:rsid w:val="006D4EC2"/>
    <w:rsid w:val="006D653F"/>
    <w:rsid w:val="006E1ADA"/>
    <w:rsid w:val="006E220B"/>
    <w:rsid w:val="006E5B52"/>
    <w:rsid w:val="006F0642"/>
    <w:rsid w:val="006F29C6"/>
    <w:rsid w:val="006F5B95"/>
    <w:rsid w:val="007022EF"/>
    <w:rsid w:val="007027AF"/>
    <w:rsid w:val="007044CE"/>
    <w:rsid w:val="0070580D"/>
    <w:rsid w:val="007124D3"/>
    <w:rsid w:val="00715913"/>
    <w:rsid w:val="00715DAE"/>
    <w:rsid w:val="00715F4D"/>
    <w:rsid w:val="0072498B"/>
    <w:rsid w:val="00734A5A"/>
    <w:rsid w:val="00735443"/>
    <w:rsid w:val="0074156C"/>
    <w:rsid w:val="007418E1"/>
    <w:rsid w:val="00743CD2"/>
    <w:rsid w:val="00745EFB"/>
    <w:rsid w:val="00747AC6"/>
    <w:rsid w:val="0075063C"/>
    <w:rsid w:val="0075109F"/>
    <w:rsid w:val="007512C9"/>
    <w:rsid w:val="00754769"/>
    <w:rsid w:val="00754F36"/>
    <w:rsid w:val="007605E4"/>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649"/>
    <w:rsid w:val="007B2A3F"/>
    <w:rsid w:val="007B3226"/>
    <w:rsid w:val="007B3EF8"/>
    <w:rsid w:val="007B4506"/>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153D"/>
    <w:rsid w:val="007F65E2"/>
    <w:rsid w:val="007F7302"/>
    <w:rsid w:val="007F7B7F"/>
    <w:rsid w:val="00802B5C"/>
    <w:rsid w:val="00807746"/>
    <w:rsid w:val="0081036F"/>
    <w:rsid w:val="008143D2"/>
    <w:rsid w:val="00814741"/>
    <w:rsid w:val="00816CC8"/>
    <w:rsid w:val="00817F19"/>
    <w:rsid w:val="00823AB2"/>
    <w:rsid w:val="00826439"/>
    <w:rsid w:val="0083192C"/>
    <w:rsid w:val="008332FA"/>
    <w:rsid w:val="00835541"/>
    <w:rsid w:val="00835F2D"/>
    <w:rsid w:val="00840E50"/>
    <w:rsid w:val="00842332"/>
    <w:rsid w:val="008445F6"/>
    <w:rsid w:val="00846E03"/>
    <w:rsid w:val="00850C23"/>
    <w:rsid w:val="00852AF7"/>
    <w:rsid w:val="00855BED"/>
    <w:rsid w:val="008601CE"/>
    <w:rsid w:val="008615F0"/>
    <w:rsid w:val="00870DEA"/>
    <w:rsid w:val="00873980"/>
    <w:rsid w:val="00873E17"/>
    <w:rsid w:val="00875622"/>
    <w:rsid w:val="00877BF1"/>
    <w:rsid w:val="00877CE4"/>
    <w:rsid w:val="00880BF5"/>
    <w:rsid w:val="008828F3"/>
    <w:rsid w:val="008849C1"/>
    <w:rsid w:val="00885938"/>
    <w:rsid w:val="00885D79"/>
    <w:rsid w:val="00887902"/>
    <w:rsid w:val="00890E4B"/>
    <w:rsid w:val="0089289D"/>
    <w:rsid w:val="00893143"/>
    <w:rsid w:val="00894B20"/>
    <w:rsid w:val="00897070"/>
    <w:rsid w:val="008973A5"/>
    <w:rsid w:val="0089779A"/>
    <w:rsid w:val="008A151F"/>
    <w:rsid w:val="008A2F62"/>
    <w:rsid w:val="008A33AB"/>
    <w:rsid w:val="008A45A0"/>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D7A27"/>
    <w:rsid w:val="008E3BBE"/>
    <w:rsid w:val="008E67EE"/>
    <w:rsid w:val="008F153C"/>
    <w:rsid w:val="008F52CE"/>
    <w:rsid w:val="008F672F"/>
    <w:rsid w:val="008F7389"/>
    <w:rsid w:val="008F7C5F"/>
    <w:rsid w:val="00915F9D"/>
    <w:rsid w:val="009200E4"/>
    <w:rsid w:val="00921599"/>
    <w:rsid w:val="00922DD0"/>
    <w:rsid w:val="00930E22"/>
    <w:rsid w:val="0093128E"/>
    <w:rsid w:val="00931C05"/>
    <w:rsid w:val="009326BE"/>
    <w:rsid w:val="009371F0"/>
    <w:rsid w:val="00943FC5"/>
    <w:rsid w:val="00951CB3"/>
    <w:rsid w:val="009531B6"/>
    <w:rsid w:val="00953BFE"/>
    <w:rsid w:val="00953DC1"/>
    <w:rsid w:val="009567FE"/>
    <w:rsid w:val="00960C2F"/>
    <w:rsid w:val="00961C45"/>
    <w:rsid w:val="00962C63"/>
    <w:rsid w:val="00962D44"/>
    <w:rsid w:val="009642A2"/>
    <w:rsid w:val="00964957"/>
    <w:rsid w:val="0096564E"/>
    <w:rsid w:val="00966503"/>
    <w:rsid w:val="0097072A"/>
    <w:rsid w:val="00970EBF"/>
    <w:rsid w:val="00972655"/>
    <w:rsid w:val="009748A0"/>
    <w:rsid w:val="00980440"/>
    <w:rsid w:val="009811E1"/>
    <w:rsid w:val="009812DD"/>
    <w:rsid w:val="009918D1"/>
    <w:rsid w:val="0099244D"/>
    <w:rsid w:val="009A0BB8"/>
    <w:rsid w:val="009A6324"/>
    <w:rsid w:val="009A6CA8"/>
    <w:rsid w:val="009B4BFF"/>
    <w:rsid w:val="009B6B3F"/>
    <w:rsid w:val="009C624B"/>
    <w:rsid w:val="009D1A04"/>
    <w:rsid w:val="009D3484"/>
    <w:rsid w:val="009D3AE4"/>
    <w:rsid w:val="009D3C83"/>
    <w:rsid w:val="009D4AAA"/>
    <w:rsid w:val="009D51D9"/>
    <w:rsid w:val="009E22F4"/>
    <w:rsid w:val="009E3037"/>
    <w:rsid w:val="009E30CE"/>
    <w:rsid w:val="009E3302"/>
    <w:rsid w:val="009E42E4"/>
    <w:rsid w:val="009E6B02"/>
    <w:rsid w:val="009F0187"/>
    <w:rsid w:val="009F13F0"/>
    <w:rsid w:val="009F1CA7"/>
    <w:rsid w:val="009F606A"/>
    <w:rsid w:val="00A02502"/>
    <w:rsid w:val="00A06302"/>
    <w:rsid w:val="00A11296"/>
    <w:rsid w:val="00A11DFE"/>
    <w:rsid w:val="00A13509"/>
    <w:rsid w:val="00A14BF1"/>
    <w:rsid w:val="00A154B5"/>
    <w:rsid w:val="00A15BD4"/>
    <w:rsid w:val="00A27432"/>
    <w:rsid w:val="00A27659"/>
    <w:rsid w:val="00A27DB4"/>
    <w:rsid w:val="00A3018A"/>
    <w:rsid w:val="00A3142D"/>
    <w:rsid w:val="00A36B06"/>
    <w:rsid w:val="00A370D4"/>
    <w:rsid w:val="00A375E7"/>
    <w:rsid w:val="00A41B50"/>
    <w:rsid w:val="00A4382C"/>
    <w:rsid w:val="00A513C3"/>
    <w:rsid w:val="00A55A41"/>
    <w:rsid w:val="00A57747"/>
    <w:rsid w:val="00A641F0"/>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287A"/>
    <w:rsid w:val="00B030B0"/>
    <w:rsid w:val="00B070F5"/>
    <w:rsid w:val="00B11BAE"/>
    <w:rsid w:val="00B14773"/>
    <w:rsid w:val="00B162D3"/>
    <w:rsid w:val="00B20029"/>
    <w:rsid w:val="00B22CDD"/>
    <w:rsid w:val="00B26545"/>
    <w:rsid w:val="00B329C8"/>
    <w:rsid w:val="00B34454"/>
    <w:rsid w:val="00B345B2"/>
    <w:rsid w:val="00B3483E"/>
    <w:rsid w:val="00B34EE3"/>
    <w:rsid w:val="00B42331"/>
    <w:rsid w:val="00B431A3"/>
    <w:rsid w:val="00B44DFD"/>
    <w:rsid w:val="00B44F6E"/>
    <w:rsid w:val="00B54A5C"/>
    <w:rsid w:val="00B54C5A"/>
    <w:rsid w:val="00B54D14"/>
    <w:rsid w:val="00B54D8F"/>
    <w:rsid w:val="00B55AB7"/>
    <w:rsid w:val="00B5671B"/>
    <w:rsid w:val="00B60AA1"/>
    <w:rsid w:val="00B622EE"/>
    <w:rsid w:val="00B6314D"/>
    <w:rsid w:val="00B64152"/>
    <w:rsid w:val="00B706B3"/>
    <w:rsid w:val="00B71111"/>
    <w:rsid w:val="00B74EE2"/>
    <w:rsid w:val="00B80D24"/>
    <w:rsid w:val="00B872F7"/>
    <w:rsid w:val="00B87A05"/>
    <w:rsid w:val="00B9140B"/>
    <w:rsid w:val="00B95036"/>
    <w:rsid w:val="00B9774D"/>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E1FEA"/>
    <w:rsid w:val="00BE2D08"/>
    <w:rsid w:val="00BF18E0"/>
    <w:rsid w:val="00BF4E13"/>
    <w:rsid w:val="00BF5F7F"/>
    <w:rsid w:val="00BF67D2"/>
    <w:rsid w:val="00C00EC9"/>
    <w:rsid w:val="00C02096"/>
    <w:rsid w:val="00C024C6"/>
    <w:rsid w:val="00C02FC9"/>
    <w:rsid w:val="00C039F3"/>
    <w:rsid w:val="00C06FD8"/>
    <w:rsid w:val="00C1062A"/>
    <w:rsid w:val="00C12BEE"/>
    <w:rsid w:val="00C1453F"/>
    <w:rsid w:val="00C206F4"/>
    <w:rsid w:val="00C209FF"/>
    <w:rsid w:val="00C22C09"/>
    <w:rsid w:val="00C23E4C"/>
    <w:rsid w:val="00C246E7"/>
    <w:rsid w:val="00C249A8"/>
    <w:rsid w:val="00C27481"/>
    <w:rsid w:val="00C30A94"/>
    <w:rsid w:val="00C369ED"/>
    <w:rsid w:val="00C4093A"/>
    <w:rsid w:val="00C409B8"/>
    <w:rsid w:val="00C44A33"/>
    <w:rsid w:val="00C45712"/>
    <w:rsid w:val="00C45B82"/>
    <w:rsid w:val="00C504A0"/>
    <w:rsid w:val="00C51CD5"/>
    <w:rsid w:val="00C53567"/>
    <w:rsid w:val="00C5404F"/>
    <w:rsid w:val="00C63B7A"/>
    <w:rsid w:val="00C645F7"/>
    <w:rsid w:val="00C65014"/>
    <w:rsid w:val="00C65193"/>
    <w:rsid w:val="00C66DA7"/>
    <w:rsid w:val="00C7116E"/>
    <w:rsid w:val="00C719D3"/>
    <w:rsid w:val="00C74DDC"/>
    <w:rsid w:val="00C759C5"/>
    <w:rsid w:val="00C76318"/>
    <w:rsid w:val="00C76526"/>
    <w:rsid w:val="00C777E4"/>
    <w:rsid w:val="00C8279C"/>
    <w:rsid w:val="00C85126"/>
    <w:rsid w:val="00C854B2"/>
    <w:rsid w:val="00C8551C"/>
    <w:rsid w:val="00C87E3D"/>
    <w:rsid w:val="00C93558"/>
    <w:rsid w:val="00C94B03"/>
    <w:rsid w:val="00C95DED"/>
    <w:rsid w:val="00C96308"/>
    <w:rsid w:val="00CA1E57"/>
    <w:rsid w:val="00CA5839"/>
    <w:rsid w:val="00CA599A"/>
    <w:rsid w:val="00CC0A4A"/>
    <w:rsid w:val="00CC175F"/>
    <w:rsid w:val="00CC2454"/>
    <w:rsid w:val="00CC2723"/>
    <w:rsid w:val="00CC3C76"/>
    <w:rsid w:val="00CD1E6F"/>
    <w:rsid w:val="00CD50F4"/>
    <w:rsid w:val="00CD70F7"/>
    <w:rsid w:val="00CD7EBC"/>
    <w:rsid w:val="00CE1D76"/>
    <w:rsid w:val="00CE316C"/>
    <w:rsid w:val="00CE4A1E"/>
    <w:rsid w:val="00CE7EC4"/>
    <w:rsid w:val="00CF3860"/>
    <w:rsid w:val="00CF3BCA"/>
    <w:rsid w:val="00CF437F"/>
    <w:rsid w:val="00CF5BA6"/>
    <w:rsid w:val="00D00AC1"/>
    <w:rsid w:val="00D020C3"/>
    <w:rsid w:val="00D03827"/>
    <w:rsid w:val="00D07774"/>
    <w:rsid w:val="00D12F84"/>
    <w:rsid w:val="00D14A26"/>
    <w:rsid w:val="00D164B9"/>
    <w:rsid w:val="00D24AA8"/>
    <w:rsid w:val="00D24C4C"/>
    <w:rsid w:val="00D24F71"/>
    <w:rsid w:val="00D24FA3"/>
    <w:rsid w:val="00D31D9D"/>
    <w:rsid w:val="00D34459"/>
    <w:rsid w:val="00D353A2"/>
    <w:rsid w:val="00D375F9"/>
    <w:rsid w:val="00D4568C"/>
    <w:rsid w:val="00D47787"/>
    <w:rsid w:val="00D50C78"/>
    <w:rsid w:val="00D50E80"/>
    <w:rsid w:val="00D510D5"/>
    <w:rsid w:val="00D5236E"/>
    <w:rsid w:val="00D531BE"/>
    <w:rsid w:val="00D554D3"/>
    <w:rsid w:val="00D55737"/>
    <w:rsid w:val="00D6226F"/>
    <w:rsid w:val="00D72839"/>
    <w:rsid w:val="00D73485"/>
    <w:rsid w:val="00D743CA"/>
    <w:rsid w:val="00D76C8F"/>
    <w:rsid w:val="00D77D8B"/>
    <w:rsid w:val="00D80B57"/>
    <w:rsid w:val="00D9097D"/>
    <w:rsid w:val="00D916D3"/>
    <w:rsid w:val="00D91CCB"/>
    <w:rsid w:val="00D92C09"/>
    <w:rsid w:val="00D92DFD"/>
    <w:rsid w:val="00D94CED"/>
    <w:rsid w:val="00D953F3"/>
    <w:rsid w:val="00DA4DB2"/>
    <w:rsid w:val="00DA4EAC"/>
    <w:rsid w:val="00DA57C8"/>
    <w:rsid w:val="00DA7D5C"/>
    <w:rsid w:val="00DB10A3"/>
    <w:rsid w:val="00DB3151"/>
    <w:rsid w:val="00DB36A9"/>
    <w:rsid w:val="00DB3E96"/>
    <w:rsid w:val="00DB5157"/>
    <w:rsid w:val="00DB5656"/>
    <w:rsid w:val="00DB6800"/>
    <w:rsid w:val="00DC1AD6"/>
    <w:rsid w:val="00DC6298"/>
    <w:rsid w:val="00DC66EF"/>
    <w:rsid w:val="00DD270E"/>
    <w:rsid w:val="00DD2DF0"/>
    <w:rsid w:val="00DE1D4D"/>
    <w:rsid w:val="00DE3A1E"/>
    <w:rsid w:val="00DE7352"/>
    <w:rsid w:val="00DF0DB9"/>
    <w:rsid w:val="00DF12BF"/>
    <w:rsid w:val="00DF1440"/>
    <w:rsid w:val="00DF255D"/>
    <w:rsid w:val="00DF67E8"/>
    <w:rsid w:val="00DF6D13"/>
    <w:rsid w:val="00E007C7"/>
    <w:rsid w:val="00E01855"/>
    <w:rsid w:val="00E03DC1"/>
    <w:rsid w:val="00E049AC"/>
    <w:rsid w:val="00E0572A"/>
    <w:rsid w:val="00E079B4"/>
    <w:rsid w:val="00E12BD7"/>
    <w:rsid w:val="00E13819"/>
    <w:rsid w:val="00E14A52"/>
    <w:rsid w:val="00E17A3F"/>
    <w:rsid w:val="00E249D2"/>
    <w:rsid w:val="00E26B58"/>
    <w:rsid w:val="00E27DAE"/>
    <w:rsid w:val="00E3125F"/>
    <w:rsid w:val="00E33B2F"/>
    <w:rsid w:val="00E36C7F"/>
    <w:rsid w:val="00E37EC5"/>
    <w:rsid w:val="00E40505"/>
    <w:rsid w:val="00E4356A"/>
    <w:rsid w:val="00E47148"/>
    <w:rsid w:val="00E51F6B"/>
    <w:rsid w:val="00E530C8"/>
    <w:rsid w:val="00E56704"/>
    <w:rsid w:val="00E6013A"/>
    <w:rsid w:val="00E669A7"/>
    <w:rsid w:val="00E71114"/>
    <w:rsid w:val="00E80A4F"/>
    <w:rsid w:val="00E813DE"/>
    <w:rsid w:val="00E8312C"/>
    <w:rsid w:val="00E8429A"/>
    <w:rsid w:val="00E86DC9"/>
    <w:rsid w:val="00E87053"/>
    <w:rsid w:val="00E90818"/>
    <w:rsid w:val="00E9272B"/>
    <w:rsid w:val="00E97FDC"/>
    <w:rsid w:val="00EA0CB0"/>
    <w:rsid w:val="00EA4564"/>
    <w:rsid w:val="00EA5331"/>
    <w:rsid w:val="00EB7663"/>
    <w:rsid w:val="00EC01BE"/>
    <w:rsid w:val="00EC01FC"/>
    <w:rsid w:val="00EC07E1"/>
    <w:rsid w:val="00EC1C13"/>
    <w:rsid w:val="00EC77AC"/>
    <w:rsid w:val="00ED15BD"/>
    <w:rsid w:val="00ED4056"/>
    <w:rsid w:val="00ED589A"/>
    <w:rsid w:val="00ED68E6"/>
    <w:rsid w:val="00EE07C4"/>
    <w:rsid w:val="00EE0F94"/>
    <w:rsid w:val="00EE306B"/>
    <w:rsid w:val="00EE3B34"/>
    <w:rsid w:val="00EE3C1C"/>
    <w:rsid w:val="00EE5BE8"/>
    <w:rsid w:val="00EF2C5A"/>
    <w:rsid w:val="00EF6967"/>
    <w:rsid w:val="00EF7B3E"/>
    <w:rsid w:val="00EF7FE2"/>
    <w:rsid w:val="00F010D4"/>
    <w:rsid w:val="00F0309D"/>
    <w:rsid w:val="00F22161"/>
    <w:rsid w:val="00F2478D"/>
    <w:rsid w:val="00F3005B"/>
    <w:rsid w:val="00F30267"/>
    <w:rsid w:val="00F32D75"/>
    <w:rsid w:val="00F3688C"/>
    <w:rsid w:val="00F41817"/>
    <w:rsid w:val="00F447AB"/>
    <w:rsid w:val="00F4571A"/>
    <w:rsid w:val="00F4576D"/>
    <w:rsid w:val="00F4652A"/>
    <w:rsid w:val="00F46598"/>
    <w:rsid w:val="00F46AAA"/>
    <w:rsid w:val="00F50DC5"/>
    <w:rsid w:val="00F55B67"/>
    <w:rsid w:val="00F65B6C"/>
    <w:rsid w:val="00F668AA"/>
    <w:rsid w:val="00F7128C"/>
    <w:rsid w:val="00F718BB"/>
    <w:rsid w:val="00F73A29"/>
    <w:rsid w:val="00F75786"/>
    <w:rsid w:val="00F80296"/>
    <w:rsid w:val="00F82657"/>
    <w:rsid w:val="00F83B04"/>
    <w:rsid w:val="00F863D1"/>
    <w:rsid w:val="00F87811"/>
    <w:rsid w:val="00F908A8"/>
    <w:rsid w:val="00F9324F"/>
    <w:rsid w:val="00F9750A"/>
    <w:rsid w:val="00FA09F6"/>
    <w:rsid w:val="00FA0F9F"/>
    <w:rsid w:val="00FA40FA"/>
    <w:rsid w:val="00FA4FF8"/>
    <w:rsid w:val="00FA6FF1"/>
    <w:rsid w:val="00FB0AAA"/>
    <w:rsid w:val="00FB33B9"/>
    <w:rsid w:val="00FB75C4"/>
    <w:rsid w:val="00FC0135"/>
    <w:rsid w:val="00FC559D"/>
    <w:rsid w:val="00FD3AD8"/>
    <w:rsid w:val="00FD6EB2"/>
    <w:rsid w:val="00FE0217"/>
    <w:rsid w:val="00FE0DA0"/>
    <w:rsid w:val="00FE3520"/>
    <w:rsid w:val="00FE4BE1"/>
    <w:rsid w:val="00FE70BA"/>
    <w:rsid w:val="00FE7286"/>
    <w:rsid w:val="00FE7902"/>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uiPriority w:val="39"/>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151F"/>
    <w:pPr>
      <w:autoSpaceDE w:val="0"/>
      <w:autoSpaceDN w:val="0"/>
      <w:adjustRightInd w:val="0"/>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3.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38E946-A0E2-4335-B178-C9ED50550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6613</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77</cp:revision>
  <cp:lastPrinted>2018-07-19T18:27:00Z</cp:lastPrinted>
  <dcterms:created xsi:type="dcterms:W3CDTF">2026-07-13T16:53:00Z</dcterms:created>
  <dcterms:modified xsi:type="dcterms:W3CDTF">2026-07-21T19:54:00Z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