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2B5" w14:textId="77777777" w:rsidR="000468A0" w:rsidRDefault="000468A0" w:rsidP="009A6C2B">
      <w:pPr>
        <w:jc w:val="center"/>
        <w:rPr>
          <w:b/>
          <w:bCs/>
        </w:rPr>
      </w:pPr>
    </w:p>
    <w:p w14:paraId="7A26F7AF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Assistant Director’s Report</w:t>
      </w:r>
    </w:p>
    <w:p w14:paraId="4B90107A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3F8F2E7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Division of Family Economic Independence</w:t>
      </w:r>
    </w:p>
    <w:p w14:paraId="34779F46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08B6B59" w14:textId="001BE810" w:rsidR="00852FDF" w:rsidRPr="00584F92" w:rsidRDefault="007060DB" w:rsidP="00852FD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05/07/2026</w:t>
      </w:r>
    </w:p>
    <w:p w14:paraId="3FA21098" w14:textId="77777777" w:rsidR="00852FDF" w:rsidRPr="002213BC" w:rsidRDefault="00852FDF" w:rsidP="00852FDF">
      <w:pPr>
        <w:jc w:val="center"/>
        <w:rPr>
          <w:b/>
          <w:bCs/>
          <w:sz w:val="22"/>
          <w:szCs w:val="22"/>
          <w:u w:val="single"/>
        </w:rPr>
      </w:pPr>
    </w:p>
    <w:p w14:paraId="0C4C206F" w14:textId="74C82498" w:rsidR="003E1080" w:rsidRPr="0015444A" w:rsidRDefault="00426799" w:rsidP="00852FDF">
      <w:pPr>
        <w:rPr>
          <w:b/>
          <w:bCs/>
          <w:i/>
          <w:iCs/>
          <w:sz w:val="28"/>
          <w:szCs w:val="28"/>
          <w:u w:val="single"/>
        </w:rPr>
      </w:pPr>
      <w:r w:rsidRPr="0015444A">
        <w:rPr>
          <w:b/>
          <w:bCs/>
          <w:i/>
          <w:iCs/>
          <w:sz w:val="28"/>
          <w:szCs w:val="28"/>
          <w:u w:val="single"/>
        </w:rPr>
        <w:t>FEI APPLICATIONS:</w:t>
      </w:r>
    </w:p>
    <w:p w14:paraId="14BAE2DE" w14:textId="77777777" w:rsidR="0015444A" w:rsidRPr="0015444A" w:rsidRDefault="0015444A" w:rsidP="00852FDF">
      <w:pPr>
        <w:rPr>
          <w:b/>
          <w:bCs/>
          <w:i/>
          <w:iCs/>
          <w:sz w:val="22"/>
          <w:szCs w:val="22"/>
          <w:u w:val="single"/>
        </w:rPr>
      </w:pPr>
    </w:p>
    <w:p w14:paraId="47637A33" w14:textId="6C2616F8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  <w:t xml:space="preserve">          </w:t>
      </w:r>
      <w:r w:rsidRPr="002213BC">
        <w:rPr>
          <w:b/>
          <w:bCs/>
          <w:sz w:val="22"/>
          <w:szCs w:val="22"/>
        </w:rPr>
        <w:tab/>
      </w:r>
    </w:p>
    <w:p w14:paraId="4E53CE58" w14:textId="77777777" w:rsidR="00852FDF" w:rsidRPr="002213BC" w:rsidRDefault="00852FDF" w:rsidP="00852FDF">
      <w:pPr>
        <w:rPr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Taken by Program:</w:t>
      </w:r>
      <w:r w:rsidRPr="002213BC">
        <w:rPr>
          <w:b/>
          <w:bCs/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>Total Applications Pending:</w:t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7"/>
        <w:gridCol w:w="1266"/>
        <w:gridCol w:w="1194"/>
        <w:gridCol w:w="1403"/>
        <w:gridCol w:w="252"/>
        <w:gridCol w:w="1109"/>
        <w:gridCol w:w="1311"/>
        <w:gridCol w:w="1217"/>
        <w:gridCol w:w="1434"/>
      </w:tblGrid>
      <w:tr w:rsidR="00E456C7" w:rsidRPr="00E456C7" w14:paraId="22C2B5E2" w14:textId="77777777" w:rsidTr="00BC0EDC">
        <w:trPr>
          <w:trHeight w:val="1097"/>
        </w:trPr>
        <w:tc>
          <w:tcPr>
            <w:tcW w:w="1097" w:type="dxa"/>
            <w:shd w:val="clear" w:color="auto" w:fill="FBE4D5" w:themeFill="accent2" w:themeFillTint="33"/>
          </w:tcPr>
          <w:p w14:paraId="001FDB51" w14:textId="398E7E39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14:paraId="612D61A1" w14:textId="77A1C4C2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Work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F</w:t>
            </w:r>
            <w:r w:rsidRPr="00BC5C7D">
              <w:rPr>
                <w:b/>
                <w:bCs/>
                <w:sz w:val="22"/>
                <w:szCs w:val="22"/>
              </w:rPr>
              <w:t>irst Cash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50747F7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36094DE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Total Applications Taken</w:t>
            </w:r>
          </w:p>
        </w:tc>
        <w:tc>
          <w:tcPr>
            <w:tcW w:w="252" w:type="dxa"/>
            <w:shd w:val="clear" w:color="auto" w:fill="000000" w:themeFill="text1"/>
          </w:tcPr>
          <w:p w14:paraId="4B3BBCB9" w14:textId="77777777" w:rsidR="00852FDF" w:rsidRPr="00E456C7" w:rsidRDefault="00852FDF" w:rsidP="003E1080">
            <w:pPr>
              <w:spacing w:before="240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4DC3E843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11" w:type="dxa"/>
            <w:shd w:val="clear" w:color="auto" w:fill="9CC2E5" w:themeFill="accent1" w:themeFillTint="99"/>
          </w:tcPr>
          <w:p w14:paraId="6FB2311F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7" w:type="dxa"/>
            <w:shd w:val="clear" w:color="auto" w:fill="FBE4D5" w:themeFill="accent2" w:themeFillTint="33"/>
          </w:tcPr>
          <w:p w14:paraId="221369D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4" w:type="dxa"/>
            <w:shd w:val="clear" w:color="auto" w:fill="EDEDED" w:themeFill="accent3" w:themeFillTint="33"/>
          </w:tcPr>
          <w:p w14:paraId="5DD07FC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Total Applications Pending</w:t>
            </w:r>
          </w:p>
        </w:tc>
      </w:tr>
      <w:tr w:rsidR="00E456C7" w:rsidRPr="00E456C7" w14:paraId="33D41ADE" w14:textId="77777777" w:rsidTr="00BC0EDC">
        <w:trPr>
          <w:trHeight w:val="305"/>
        </w:trPr>
        <w:tc>
          <w:tcPr>
            <w:tcW w:w="1097" w:type="dxa"/>
          </w:tcPr>
          <w:p w14:paraId="22C8689C" w14:textId="5E59FC47" w:rsidR="00BC0EDC" w:rsidRPr="00BC5C7D" w:rsidRDefault="00281630" w:rsidP="00BC0ED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1,833</w:t>
            </w:r>
          </w:p>
        </w:tc>
        <w:tc>
          <w:tcPr>
            <w:tcW w:w="1266" w:type="dxa"/>
          </w:tcPr>
          <w:p w14:paraId="7D61E36A" w14:textId="26B14ABA" w:rsidR="00BC0EDC" w:rsidRPr="00BC5C7D" w:rsidRDefault="007060DB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194" w:type="dxa"/>
          </w:tcPr>
          <w:p w14:paraId="2F5E42EF" w14:textId="58154567" w:rsidR="00BC0EDC" w:rsidRPr="00BC5C7D" w:rsidRDefault="007060DB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E3A942E" w14:textId="068B62AE" w:rsidR="00BC0EDC" w:rsidRPr="00BC5C7D" w:rsidRDefault="00281630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1,957</w:t>
            </w:r>
          </w:p>
        </w:tc>
        <w:tc>
          <w:tcPr>
            <w:tcW w:w="252" w:type="dxa"/>
            <w:shd w:val="clear" w:color="auto" w:fill="000000" w:themeFill="text1"/>
          </w:tcPr>
          <w:p w14:paraId="38537BE2" w14:textId="77777777" w:rsidR="00BC0EDC" w:rsidRPr="00E456C7" w:rsidRDefault="00BC0EDC" w:rsidP="00BC0ED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C45867" w14:textId="21EEBC75" w:rsidR="00BC0EDC" w:rsidRPr="005E46CE" w:rsidRDefault="00F25874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311" w:type="dxa"/>
          </w:tcPr>
          <w:p w14:paraId="08805651" w14:textId="024F9FB1" w:rsidR="00BC0EDC" w:rsidRPr="005E46CE" w:rsidRDefault="007060DB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17" w:type="dxa"/>
          </w:tcPr>
          <w:p w14:paraId="3E7C0E4F" w14:textId="43ADF4E9" w:rsidR="00BC0EDC" w:rsidRPr="005E46CE" w:rsidRDefault="007060DB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</w:tcPr>
          <w:p w14:paraId="383DBEF9" w14:textId="3C6DBB0A" w:rsidR="00BC0EDC" w:rsidRPr="005E46CE" w:rsidRDefault="0079116A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</w:tr>
    </w:tbl>
    <w:p w14:paraId="6B178A44" w14:textId="77777777" w:rsidR="00852FDF" w:rsidRPr="004469FB" w:rsidRDefault="00852FDF" w:rsidP="00852FDF">
      <w:pPr>
        <w:rPr>
          <w:b/>
          <w:bCs/>
          <w:sz w:val="22"/>
          <w:szCs w:val="22"/>
        </w:rPr>
      </w:pPr>
    </w:p>
    <w:p w14:paraId="012047D2" w14:textId="6A3A24B5" w:rsidR="00852FDF" w:rsidRPr="004469FB" w:rsidRDefault="00852FDF" w:rsidP="00852FDF">
      <w:pPr>
        <w:rPr>
          <w:b/>
          <w:bCs/>
          <w:sz w:val="22"/>
          <w:szCs w:val="22"/>
        </w:rPr>
      </w:pPr>
      <w:r w:rsidRPr="004469FB">
        <w:rPr>
          <w:b/>
          <w:bCs/>
          <w:sz w:val="22"/>
          <w:szCs w:val="22"/>
        </w:rPr>
        <w:t>Total Applications Disposed by Program:                               Total Applications Approved by Progra</w:t>
      </w:r>
      <w:r w:rsidR="003C2DA3" w:rsidRPr="004469FB">
        <w:rPr>
          <w:b/>
          <w:bCs/>
          <w:sz w:val="22"/>
          <w:szCs w:val="22"/>
        </w:rPr>
        <w:t>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6"/>
        <w:gridCol w:w="1194"/>
        <w:gridCol w:w="1403"/>
        <w:gridCol w:w="251"/>
        <w:gridCol w:w="1109"/>
        <w:gridCol w:w="1306"/>
        <w:gridCol w:w="1216"/>
        <w:gridCol w:w="1432"/>
      </w:tblGrid>
      <w:tr w:rsidR="004469FB" w:rsidRPr="004469FB" w14:paraId="6D2E84FF" w14:textId="77777777" w:rsidTr="00687D64">
        <w:trPr>
          <w:trHeight w:val="1034"/>
        </w:trPr>
        <w:tc>
          <w:tcPr>
            <w:tcW w:w="1096" w:type="dxa"/>
            <w:shd w:val="clear" w:color="auto" w:fill="FBE4D5" w:themeFill="accent2" w:themeFillTint="33"/>
          </w:tcPr>
          <w:p w14:paraId="4E6FF32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37D09516" w14:textId="4478827F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</w:t>
            </w:r>
            <w:r w:rsidRPr="004469FB">
              <w:rPr>
                <w:b/>
                <w:bCs/>
                <w:sz w:val="22"/>
                <w:szCs w:val="22"/>
              </w:rPr>
              <w:t xml:space="preserve">First </w:t>
            </w:r>
            <w:r w:rsidR="007F08E9" w:rsidRPr="004469FB">
              <w:rPr>
                <w:b/>
                <w:bCs/>
                <w:sz w:val="22"/>
                <w:szCs w:val="22"/>
              </w:rPr>
              <w:t xml:space="preserve">   </w:t>
            </w:r>
            <w:r w:rsidRPr="004469FB">
              <w:rPr>
                <w:b/>
                <w:bCs/>
                <w:sz w:val="22"/>
                <w:szCs w:val="22"/>
              </w:rPr>
              <w:t>Cash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57F4317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E1AEFE8" w14:textId="32372451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4469FB">
              <w:rPr>
                <w:b/>
                <w:bCs/>
                <w:sz w:val="22"/>
                <w:szCs w:val="22"/>
              </w:rPr>
              <w:t>Disposed</w:t>
            </w:r>
          </w:p>
        </w:tc>
        <w:tc>
          <w:tcPr>
            <w:tcW w:w="251" w:type="dxa"/>
            <w:shd w:val="clear" w:color="auto" w:fill="000000" w:themeFill="text1"/>
          </w:tcPr>
          <w:p w14:paraId="7A728845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16E2BBF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13521182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4E7657B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2D1080EB" w14:textId="64AE92B3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4469FB">
              <w:rPr>
                <w:b/>
                <w:bCs/>
                <w:sz w:val="22"/>
                <w:szCs w:val="22"/>
              </w:rPr>
              <w:t>Approved</w:t>
            </w:r>
          </w:p>
        </w:tc>
      </w:tr>
      <w:tr w:rsidR="004469FB" w:rsidRPr="004469FB" w14:paraId="15B498B1" w14:textId="77777777" w:rsidTr="00687D64">
        <w:trPr>
          <w:trHeight w:val="404"/>
        </w:trPr>
        <w:tc>
          <w:tcPr>
            <w:tcW w:w="1096" w:type="dxa"/>
          </w:tcPr>
          <w:p w14:paraId="2CB10B5F" w14:textId="3A464AAA" w:rsidR="00687D64" w:rsidRPr="004469FB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1,925</w:t>
            </w:r>
          </w:p>
        </w:tc>
        <w:tc>
          <w:tcPr>
            <w:tcW w:w="1276" w:type="dxa"/>
          </w:tcPr>
          <w:p w14:paraId="1F0E022C" w14:textId="2DA6989B" w:rsidR="00687D64" w:rsidRPr="004469FB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194" w:type="dxa"/>
          </w:tcPr>
          <w:p w14:paraId="77761079" w14:textId="6B39367E" w:rsidR="00687D64" w:rsidRPr="004469FB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0762DE88" w14:textId="4B34672D" w:rsidR="00687D64" w:rsidRPr="004469FB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2,009</w:t>
            </w:r>
          </w:p>
        </w:tc>
        <w:tc>
          <w:tcPr>
            <w:tcW w:w="251" w:type="dxa"/>
            <w:shd w:val="clear" w:color="auto" w:fill="000000" w:themeFill="text1"/>
          </w:tcPr>
          <w:p w14:paraId="76FFC286" w14:textId="77777777" w:rsidR="00687D64" w:rsidRPr="00E456C7" w:rsidRDefault="00687D64" w:rsidP="00687D6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CD67495" w14:textId="5730B3CD" w:rsidR="00687D64" w:rsidRPr="004469FB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1,009</w:t>
            </w:r>
          </w:p>
        </w:tc>
        <w:tc>
          <w:tcPr>
            <w:tcW w:w="1306" w:type="dxa"/>
          </w:tcPr>
          <w:p w14:paraId="5A43532A" w14:textId="0CEC64DB" w:rsidR="00687D64" w:rsidRPr="004469FB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</w:tcPr>
          <w:p w14:paraId="63DA66B2" w14:textId="63E5DA62" w:rsidR="00687D64" w:rsidRPr="004469FB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CA29ED8" w14:textId="4DAB6307" w:rsidR="00687D64" w:rsidRPr="004469FB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1,012</w:t>
            </w:r>
          </w:p>
        </w:tc>
      </w:tr>
    </w:tbl>
    <w:p w14:paraId="4C527812" w14:textId="77777777" w:rsidR="00852FDF" w:rsidRPr="00E456C7" w:rsidRDefault="00852FDF" w:rsidP="00852FDF">
      <w:pPr>
        <w:rPr>
          <w:b/>
          <w:bCs/>
          <w:color w:val="EE0000"/>
          <w:sz w:val="22"/>
          <w:szCs w:val="22"/>
        </w:rPr>
      </w:pPr>
    </w:p>
    <w:p w14:paraId="12D5261B" w14:textId="6345F08F" w:rsidR="00852FDF" w:rsidRPr="005E46CE" w:rsidRDefault="00852FDF" w:rsidP="00852FDF">
      <w:pPr>
        <w:rPr>
          <w:b/>
          <w:bCs/>
          <w:sz w:val="22"/>
          <w:szCs w:val="22"/>
        </w:rPr>
      </w:pPr>
      <w:r w:rsidRPr="005E46CE">
        <w:rPr>
          <w:b/>
          <w:bCs/>
          <w:sz w:val="22"/>
          <w:szCs w:val="22"/>
        </w:rPr>
        <w:t>Total Applications Withdrawn:                                                     Total Applications Denied by Program: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7"/>
        <w:gridCol w:w="1194"/>
        <w:gridCol w:w="1403"/>
        <w:gridCol w:w="251"/>
        <w:gridCol w:w="1108"/>
        <w:gridCol w:w="1306"/>
        <w:gridCol w:w="1216"/>
        <w:gridCol w:w="1432"/>
      </w:tblGrid>
      <w:tr w:rsidR="005E46CE" w:rsidRPr="005E46CE" w14:paraId="58E108EB" w14:textId="77777777" w:rsidTr="00C931E1">
        <w:trPr>
          <w:trHeight w:val="1394"/>
        </w:trPr>
        <w:tc>
          <w:tcPr>
            <w:tcW w:w="1096" w:type="dxa"/>
            <w:shd w:val="clear" w:color="auto" w:fill="FBE4D5" w:themeFill="accent2" w:themeFillTint="33"/>
          </w:tcPr>
          <w:p w14:paraId="16238BF0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7" w:type="dxa"/>
            <w:shd w:val="clear" w:color="auto" w:fill="9CC2E5" w:themeFill="accent1" w:themeFillTint="99"/>
          </w:tcPr>
          <w:p w14:paraId="6CBC3D84" w14:textId="15A7C2F9" w:rsidR="00852FDF" w:rsidRPr="005E46CE" w:rsidRDefault="00B85AA0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0C90EE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F0D6274" w14:textId="64D31B3B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5E46CE">
              <w:rPr>
                <w:b/>
                <w:bCs/>
                <w:sz w:val="22"/>
                <w:szCs w:val="22"/>
              </w:rPr>
              <w:t>Withdrawn</w:t>
            </w:r>
          </w:p>
        </w:tc>
        <w:tc>
          <w:tcPr>
            <w:tcW w:w="251" w:type="dxa"/>
            <w:shd w:val="clear" w:color="auto" w:fill="000000" w:themeFill="text1"/>
          </w:tcPr>
          <w:p w14:paraId="2F86C187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BE4D5" w:themeFill="accent2" w:themeFillTint="33"/>
          </w:tcPr>
          <w:p w14:paraId="5FBB13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26DAF1CD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387AFA2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60DB51E1" w14:textId="4251909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5E46CE">
              <w:rPr>
                <w:b/>
                <w:bCs/>
                <w:sz w:val="22"/>
                <w:szCs w:val="22"/>
              </w:rPr>
              <w:t>Denied</w:t>
            </w:r>
          </w:p>
        </w:tc>
      </w:tr>
      <w:tr w:rsidR="005E46CE" w:rsidRPr="005E46CE" w14:paraId="3D43E8D1" w14:textId="77777777" w:rsidTr="00C931E1">
        <w:trPr>
          <w:trHeight w:val="422"/>
        </w:trPr>
        <w:tc>
          <w:tcPr>
            <w:tcW w:w="1096" w:type="dxa"/>
          </w:tcPr>
          <w:p w14:paraId="4C1FF397" w14:textId="6D9A74D4" w:rsidR="00687D64" w:rsidRPr="005E46CE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77" w:type="dxa"/>
          </w:tcPr>
          <w:p w14:paraId="00D0C7FE" w14:textId="52320BF9" w:rsidR="00687D64" w:rsidRPr="005E46CE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94" w:type="dxa"/>
          </w:tcPr>
          <w:p w14:paraId="64951078" w14:textId="6502246C" w:rsidR="00687D64" w:rsidRPr="005E46CE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5A5CA73" w14:textId="3C3DF837" w:rsidR="00687D64" w:rsidRPr="005E46CE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51" w:type="dxa"/>
            <w:shd w:val="clear" w:color="auto" w:fill="000000" w:themeFill="text1"/>
          </w:tcPr>
          <w:p w14:paraId="04547094" w14:textId="77777777" w:rsidR="00687D64" w:rsidRPr="005E46CE" w:rsidRDefault="00687D64" w:rsidP="00687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366F863A" w14:textId="02102C6C" w:rsidR="00687D64" w:rsidRPr="005E46CE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306" w:type="dxa"/>
          </w:tcPr>
          <w:p w14:paraId="6F7D3C34" w14:textId="08D732A8" w:rsidR="00687D64" w:rsidRPr="005E46CE" w:rsidRDefault="007060DB" w:rsidP="0080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16" w:type="dxa"/>
          </w:tcPr>
          <w:p w14:paraId="327B8EA1" w14:textId="42BF0CE8" w:rsidR="00687D64" w:rsidRPr="005E46CE" w:rsidRDefault="007060DB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91B7427" w14:textId="30A2A191" w:rsidR="00687D64" w:rsidRPr="005E46CE" w:rsidRDefault="00281630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</w:tr>
    </w:tbl>
    <w:p w14:paraId="71475BEF" w14:textId="77777777" w:rsidR="00852FDF" w:rsidRPr="002213BC" w:rsidRDefault="00852FDF" w:rsidP="00852FDF">
      <w:pPr>
        <w:rPr>
          <w:bCs/>
          <w:sz w:val="22"/>
          <w:szCs w:val="22"/>
        </w:rPr>
      </w:pPr>
      <w:r w:rsidRPr="002213BC">
        <w:rPr>
          <w:bCs/>
          <w:sz w:val="22"/>
          <w:szCs w:val="22"/>
        </w:rPr>
        <w:t>*Data Source: Data Warehouse/NC Fast</w:t>
      </w:r>
    </w:p>
    <w:p w14:paraId="5EAA1252" w14:textId="77777777" w:rsidR="00237B63" w:rsidRDefault="00237B63" w:rsidP="0079116A">
      <w:pPr>
        <w:rPr>
          <w:bCs/>
          <w:sz w:val="22"/>
          <w:szCs w:val="22"/>
        </w:rPr>
      </w:pPr>
    </w:p>
    <w:p w14:paraId="03AEB899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6AD8E706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895" w:type="dxa"/>
        <w:tblLook w:val="04A0" w:firstRow="1" w:lastRow="0" w:firstColumn="1" w:lastColumn="0" w:noHBand="0" w:noVBand="1"/>
      </w:tblPr>
      <w:tblGrid>
        <w:gridCol w:w="2945"/>
        <w:gridCol w:w="5875"/>
      </w:tblGrid>
      <w:tr w:rsidR="00251224" w14:paraId="4CAB423A" w14:textId="6B4A77ED" w:rsidTr="00BD67C2">
        <w:trPr>
          <w:trHeight w:val="51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5CF4C35" w14:textId="77777777" w:rsidR="00251224" w:rsidRPr="00BC5C7D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C7D">
              <w:rPr>
                <w:rFonts w:ascii="Calibri" w:hAnsi="Calibri" w:cs="Calibri"/>
                <w:b/>
                <w:bCs/>
                <w:sz w:val="22"/>
                <w:szCs w:val="22"/>
              </w:rPr>
              <w:t>Durham's FNS Applications Timeliness: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  <w:vAlign w:val="center"/>
          </w:tcPr>
          <w:p w14:paraId="22E7A0F5" w14:textId="416911AC" w:rsidR="00251224" w:rsidRDefault="00D35631" w:rsidP="002F49C8">
            <w:pPr>
              <w:spacing w:before="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Durham’s WFF</w:t>
            </w:r>
            <w:r w:rsidR="005F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Applications Timeliness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51224" w14:paraId="0719B484" w14:textId="7F7111C3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1189504" w14:textId="54D178CC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Regular Timeliness =</w:t>
            </w:r>
            <w:r w:rsidR="00687D64"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F39AB">
              <w:rPr>
                <w:rFonts w:ascii="Calibri" w:hAnsi="Calibri" w:cs="Calibri"/>
                <w:b/>
                <w:bCs/>
                <w:sz w:val="22"/>
                <w:szCs w:val="22"/>
              </w:rPr>
              <w:t>95.</w:t>
            </w:r>
            <w:r w:rsidR="009B49D0">
              <w:rPr>
                <w:rFonts w:ascii="Calibri" w:hAnsi="Calibri" w:cs="Calibri"/>
                <w:b/>
                <w:bCs/>
                <w:sz w:val="22"/>
                <w:szCs w:val="22"/>
              </w:rPr>
              <w:t>71</w:t>
            </w:r>
            <w:r w:rsidR="001F39AB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</w:tcPr>
          <w:p w14:paraId="2FC35F86" w14:textId="4B0BF561" w:rsidR="00251224" w:rsidRPr="00377E18" w:rsidRDefault="0016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251224" w14:paraId="20A037BF" w14:textId="6CD89052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02EDB50" w14:textId="439AC74A" w:rsidR="00251224" w:rsidRPr="00377E18" w:rsidRDefault="00251224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Expedite Timeliness =</w:t>
            </w:r>
            <w:r w:rsidR="00AB44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F39AB">
              <w:rPr>
                <w:rFonts w:ascii="Calibri" w:hAnsi="Calibri" w:cs="Calibri"/>
                <w:b/>
                <w:bCs/>
                <w:sz w:val="22"/>
                <w:szCs w:val="22"/>
              </w:rPr>
              <w:t>97.</w:t>
            </w:r>
            <w:r w:rsidR="009B49D0">
              <w:rPr>
                <w:rFonts w:ascii="Calibri" w:hAnsi="Calibri" w:cs="Calibri"/>
                <w:b/>
                <w:bCs/>
                <w:sz w:val="22"/>
                <w:szCs w:val="22"/>
              </w:rPr>
              <w:t>64</w:t>
            </w:r>
            <w:r w:rsidR="001F39AB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259964" w14:textId="77777777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5626F" w14:paraId="003D0806" w14:textId="77777777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30C5AA74" w14:textId="77777777" w:rsidR="0085626F" w:rsidRPr="00377E18" w:rsidRDefault="0085626F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28F49E" w14:textId="77777777" w:rsidR="0085626F" w:rsidRPr="00377E18" w:rsidRDefault="008562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6D66EAF" w14:textId="77777777" w:rsidR="000C2773" w:rsidRDefault="000C2773" w:rsidP="009A6C2B">
      <w:pPr>
        <w:jc w:val="center"/>
        <w:rPr>
          <w:b/>
          <w:bCs/>
          <w:sz w:val="22"/>
          <w:szCs w:val="22"/>
        </w:rPr>
      </w:pPr>
    </w:p>
    <w:p w14:paraId="3CD49F8C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4DD919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54276AD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7122BF1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F020FF0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7A6478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2BB564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14DD3CB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E17C6DE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06E2CA2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ACB0AB3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90BEC88" w14:textId="5EE0BB6A" w:rsidR="00B060A2" w:rsidRPr="00C63A90" w:rsidRDefault="00B060A2" w:rsidP="006C4200">
      <w:pPr>
        <w:jc w:val="center"/>
        <w:rPr>
          <w:b/>
          <w:u w:val="single"/>
        </w:rPr>
      </w:pPr>
      <w:r w:rsidRPr="00C63A90">
        <w:rPr>
          <w:b/>
          <w:u w:val="single"/>
        </w:rPr>
        <w:lastRenderedPageBreak/>
        <w:t>CHILDCARE SERVICES</w:t>
      </w:r>
    </w:p>
    <w:p w14:paraId="797DE21D" w14:textId="77777777" w:rsidR="00B060A2" w:rsidRDefault="00B060A2" w:rsidP="00B060A2">
      <w:pPr>
        <w:rPr>
          <w:rFonts w:eastAsiaTheme="minorHAnsi"/>
        </w:rPr>
      </w:pPr>
    </w:p>
    <w:p w14:paraId="1A21DB32" w14:textId="6FD77D96" w:rsidR="008F39F7" w:rsidRDefault="008F39F7" w:rsidP="008F39F7">
      <w:pPr>
        <w:rPr>
          <w:rFonts w:eastAsiaTheme="minorHAnsi"/>
          <w:sz w:val="23"/>
          <w:szCs w:val="23"/>
        </w:rPr>
      </w:pPr>
      <w:r w:rsidRPr="007F5E3E">
        <w:rPr>
          <w:rFonts w:eastAsiaTheme="minorHAnsi"/>
          <w:sz w:val="23"/>
          <w:szCs w:val="23"/>
        </w:rPr>
        <w:t xml:space="preserve">As of </w:t>
      </w:r>
      <w:r w:rsidR="007060DB">
        <w:rPr>
          <w:rFonts w:eastAsiaTheme="minorHAnsi"/>
          <w:sz w:val="23"/>
          <w:szCs w:val="23"/>
        </w:rPr>
        <w:t>May 7, 2026</w:t>
      </w:r>
      <w:r w:rsidR="00F933AD">
        <w:rPr>
          <w:rFonts w:eastAsiaTheme="minorHAnsi"/>
          <w:sz w:val="23"/>
          <w:szCs w:val="23"/>
        </w:rPr>
        <w:t>,</w:t>
      </w:r>
      <w:r w:rsidRPr="007F5E3E">
        <w:rPr>
          <w:rFonts w:eastAsiaTheme="minorHAnsi"/>
          <w:sz w:val="23"/>
          <w:szCs w:val="23"/>
        </w:rPr>
        <w:t xml:space="preserve"> there are </w:t>
      </w:r>
      <w:r w:rsidR="001A2838">
        <w:rPr>
          <w:rFonts w:eastAsiaTheme="minorHAnsi"/>
          <w:sz w:val="23"/>
          <w:szCs w:val="23"/>
        </w:rPr>
        <w:t xml:space="preserve">no families </w:t>
      </w:r>
      <w:r w:rsidR="00826829">
        <w:rPr>
          <w:rFonts w:eastAsiaTheme="minorHAnsi"/>
          <w:sz w:val="23"/>
          <w:szCs w:val="23"/>
        </w:rPr>
        <w:t>remaining on the C</w:t>
      </w:r>
      <w:r w:rsidRPr="007F5E3E">
        <w:rPr>
          <w:rFonts w:eastAsiaTheme="minorHAnsi"/>
          <w:sz w:val="23"/>
          <w:szCs w:val="23"/>
        </w:rPr>
        <w:t xml:space="preserve">hildcare Subsidy Waitlist. </w:t>
      </w:r>
    </w:p>
    <w:p w14:paraId="03B7EB3B" w14:textId="77777777" w:rsidR="00826829" w:rsidRPr="007F5E3E" w:rsidRDefault="00826829" w:rsidP="008F39F7">
      <w:pPr>
        <w:rPr>
          <w:b/>
          <w:sz w:val="23"/>
          <w:szCs w:val="23"/>
        </w:rPr>
      </w:pPr>
    </w:p>
    <w:p w14:paraId="1FE2DB51" w14:textId="77777777" w:rsidR="008F39F7" w:rsidRPr="007F5E3E" w:rsidRDefault="008F39F7" w:rsidP="008F39F7">
      <w:pPr>
        <w:rPr>
          <w:b/>
          <w:sz w:val="23"/>
          <w:szCs w:val="23"/>
        </w:rPr>
      </w:pPr>
      <w:r w:rsidRPr="007F5E3E">
        <w:rPr>
          <w:b/>
          <w:sz w:val="23"/>
          <w:szCs w:val="23"/>
        </w:rPr>
        <w:t>Childcare Subsidy Waitlist Priority Groups are:</w:t>
      </w:r>
    </w:p>
    <w:p w14:paraId="5D047735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Protective Services (CPS)</w:t>
      </w:r>
    </w:p>
    <w:p w14:paraId="0F5E22B8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Welfare Services (CWS)</w:t>
      </w:r>
    </w:p>
    <w:p w14:paraId="2966A6FD" w14:textId="77777777" w:rsidR="008F39F7" w:rsidRPr="007F5E3E" w:rsidRDefault="008F39F7" w:rsidP="008F39F7">
      <w:pPr>
        <w:pStyle w:val="NoSpacing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7F5E3E">
        <w:rPr>
          <w:rFonts w:ascii="Times New Roman" w:hAnsi="Times New Roman"/>
          <w:sz w:val="23"/>
          <w:szCs w:val="23"/>
        </w:rPr>
        <w:t xml:space="preserve">Children in DSS custody (Foster Care).  The foster parent or custodial parent is employed or in school.  </w:t>
      </w:r>
    </w:p>
    <w:p w14:paraId="62210FF3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Families in Work First who have a current Mutual Responsibility Agreement (MRA) and receive active services.  </w:t>
      </w:r>
    </w:p>
    <w:p w14:paraId="296DC787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Teen Parents</w:t>
      </w:r>
    </w:p>
    <w:p w14:paraId="738C4F3F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Siblings (including newborns) with families who are already receiving services.  </w:t>
      </w:r>
    </w:p>
    <w:p w14:paraId="68C90F7B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Provide Childcare for 25% of the maximum allowed 64 children identified by Durham Early Head Start as enrollees of the Early Head Start –CCP Grant Award, ages 0 to 4 transition out of EHS program, also eligible for DSS Childcare Subsidy. </w:t>
      </w:r>
    </w:p>
    <w:p w14:paraId="0463DB99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Children with special needs and families experiencing homelessness.  (4% Vulnerable Populations Set-Aside)</w:t>
      </w:r>
    </w:p>
    <w:p w14:paraId="05EC1E01" w14:textId="77777777" w:rsidR="008F39F7" w:rsidRPr="007F5E3E" w:rsidRDefault="008F39F7" w:rsidP="008F39F7">
      <w:pPr>
        <w:ind w:left="720"/>
        <w:rPr>
          <w:b/>
          <w:sz w:val="23"/>
          <w:szCs w:val="23"/>
        </w:rPr>
      </w:pPr>
    </w:p>
    <w:tbl>
      <w:tblPr>
        <w:tblStyle w:val="TableGrid"/>
        <w:tblW w:w="10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07"/>
      </w:tblGrid>
      <w:tr w:rsidR="008F39F7" w:rsidRPr="007F5E3E" w14:paraId="3432047D" w14:textId="77777777">
        <w:trPr>
          <w:trHeight w:val="1073"/>
        </w:trPr>
        <w:tc>
          <w:tcPr>
            <w:tcW w:w="8658" w:type="dxa"/>
          </w:tcPr>
          <w:p w14:paraId="31A8AC01" w14:textId="0E224CF8" w:rsidR="008F39F7" w:rsidRPr="00ED5D4A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# of Children enrolled in Early Head Start (EHS) Grant Award Recipients </w:t>
            </w:r>
            <w:r w:rsidR="007A7708">
              <w:rPr>
                <w:sz w:val="23"/>
                <w:szCs w:val="23"/>
                <w:u w:val="single"/>
              </w:rPr>
              <w:t>April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121F85">
              <w:rPr>
                <w:sz w:val="23"/>
                <w:szCs w:val="23"/>
                <w:u w:val="single"/>
              </w:rPr>
              <w:t>202</w:t>
            </w:r>
            <w:r w:rsidR="00327FA6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327FA6">
              <w:rPr>
                <w:b/>
                <w:bCs/>
                <w:sz w:val="23"/>
                <w:szCs w:val="23"/>
                <w:u w:val="single"/>
              </w:rPr>
              <w:t>22</w:t>
            </w:r>
          </w:p>
        </w:tc>
        <w:tc>
          <w:tcPr>
            <w:tcW w:w="2307" w:type="dxa"/>
          </w:tcPr>
          <w:p w14:paraId="2EDB6307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3172D404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1D3C7A71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7FF43593" w14:textId="77777777">
        <w:trPr>
          <w:trHeight w:val="1073"/>
        </w:trPr>
        <w:tc>
          <w:tcPr>
            <w:tcW w:w="8658" w:type="dxa"/>
          </w:tcPr>
          <w:p w14:paraId="7DE2F52A" w14:textId="7FF7F4B5" w:rsidR="008F39F7" w:rsidRPr="007F5E3E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># of children enrolled in Head Start (HS) and North Carolina Pre-Kindergarten program (NC PreK) added to DSS wait list</w:t>
            </w:r>
            <w:r w:rsidR="002F51CE">
              <w:rPr>
                <w:sz w:val="23"/>
                <w:szCs w:val="23"/>
                <w:u w:val="single"/>
              </w:rPr>
              <w:t xml:space="preserve"> </w:t>
            </w:r>
            <w:r w:rsidR="007A7708">
              <w:rPr>
                <w:sz w:val="23"/>
                <w:szCs w:val="23"/>
                <w:u w:val="single"/>
              </w:rPr>
              <w:t>April</w:t>
            </w:r>
            <w:r w:rsidR="002F51CE">
              <w:rPr>
                <w:sz w:val="23"/>
                <w:szCs w:val="23"/>
                <w:u w:val="single"/>
              </w:rPr>
              <w:t xml:space="preserve"> 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68485B">
              <w:rPr>
                <w:sz w:val="23"/>
                <w:szCs w:val="23"/>
              </w:rPr>
              <w:t xml:space="preserve">  </w:t>
            </w:r>
            <w:r w:rsidR="0068485B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07" w:type="dxa"/>
          </w:tcPr>
          <w:p w14:paraId="06E45096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866DA79" w14:textId="77777777">
        <w:trPr>
          <w:trHeight w:val="1073"/>
        </w:trPr>
        <w:tc>
          <w:tcPr>
            <w:tcW w:w="8658" w:type="dxa"/>
          </w:tcPr>
          <w:p w14:paraId="56B83340" w14:textId="004B61FB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Attrition. Calculated by adding the new vouchers issued and subtracting the number of children terminated </w:t>
            </w:r>
            <w:r w:rsidR="007A7708">
              <w:rPr>
                <w:sz w:val="23"/>
                <w:szCs w:val="23"/>
                <w:u w:val="single"/>
              </w:rPr>
              <w:t xml:space="preserve">April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</w:rPr>
              <w:t xml:space="preserve">: </w:t>
            </w:r>
            <w:r w:rsidRPr="0068485B">
              <w:rPr>
                <w:b/>
                <w:bCs/>
                <w:sz w:val="23"/>
                <w:szCs w:val="23"/>
              </w:rPr>
              <w:t xml:space="preserve">Added: </w:t>
            </w:r>
            <w:r w:rsidR="00ED5D68">
              <w:rPr>
                <w:b/>
                <w:bCs/>
                <w:sz w:val="23"/>
                <w:szCs w:val="23"/>
              </w:rPr>
              <w:t>48</w:t>
            </w:r>
            <w:r w:rsidR="00D5595E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Terminated: </w:t>
            </w:r>
            <w:r w:rsidR="00ED5D68">
              <w:rPr>
                <w:b/>
                <w:bCs/>
                <w:sz w:val="23"/>
                <w:szCs w:val="23"/>
              </w:rPr>
              <w:t>252</w:t>
            </w:r>
            <w:r w:rsidR="00AD7A8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>Total</w:t>
            </w:r>
            <w:r w:rsidRPr="0068485B">
              <w:rPr>
                <w:b/>
                <w:bCs/>
                <w:sz w:val="23"/>
                <w:szCs w:val="23"/>
              </w:rPr>
              <w:t xml:space="preserve"> FY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7392F8F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2CA24995" w14:textId="77777777">
        <w:trPr>
          <w:trHeight w:val="1073"/>
        </w:trPr>
        <w:tc>
          <w:tcPr>
            <w:tcW w:w="8658" w:type="dxa"/>
          </w:tcPr>
          <w:p w14:paraId="4CD848C5" w14:textId="159962C5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Title IV-E children (Foster Care Placements) receiving Childcare Subsidy </w:t>
            </w:r>
            <w:r w:rsidR="007A7708">
              <w:rPr>
                <w:sz w:val="23"/>
                <w:szCs w:val="23"/>
                <w:u w:val="single"/>
              </w:rPr>
              <w:t>April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</w:p>
          <w:p w14:paraId="206C8E3A" w14:textId="01A655F8" w:rsidR="008F39F7" w:rsidRPr="0068485B" w:rsidRDefault="00F1492F">
            <w:pPr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</w:rPr>
              <w:t xml:space="preserve">59 </w:t>
            </w:r>
            <w:r w:rsidR="008F39F7" w:rsidRPr="0068485B">
              <w:rPr>
                <w:b/>
                <w:bCs/>
                <w:sz w:val="23"/>
                <w:szCs w:val="23"/>
              </w:rPr>
              <w:t>children (Total Children Served)</w:t>
            </w:r>
          </w:p>
        </w:tc>
        <w:tc>
          <w:tcPr>
            <w:tcW w:w="2307" w:type="dxa"/>
          </w:tcPr>
          <w:p w14:paraId="7F9906AE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150076B" w14:textId="77777777">
        <w:trPr>
          <w:trHeight w:val="77"/>
        </w:trPr>
        <w:tc>
          <w:tcPr>
            <w:tcW w:w="8658" w:type="dxa"/>
          </w:tcPr>
          <w:p w14:paraId="68EDA315" w14:textId="7F9B820A" w:rsidR="008F39F7" w:rsidRPr="0068485B" w:rsidRDefault="008F39F7">
            <w:pPr>
              <w:rPr>
                <w:b/>
                <w:bCs/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Homeless/Shelter Children served as of </w:t>
            </w:r>
            <w:r w:rsidR="007A7708">
              <w:rPr>
                <w:sz w:val="23"/>
                <w:szCs w:val="23"/>
                <w:u w:val="single"/>
              </w:rPr>
              <w:t>April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Pr="007F5E3E">
              <w:rPr>
                <w:sz w:val="23"/>
                <w:szCs w:val="23"/>
              </w:rPr>
              <w:t> </w:t>
            </w:r>
            <w:r w:rsidRPr="0068485B">
              <w:rPr>
                <w:b/>
                <w:bCs/>
                <w:sz w:val="23"/>
                <w:szCs w:val="23"/>
              </w:rPr>
              <w:t xml:space="preserve">32 Children/18 Families  </w:t>
            </w:r>
          </w:p>
          <w:p w14:paraId="7F96412E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7DD90F87" w14:textId="42C9972C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Durham County Childcare Subsidy </w:t>
            </w:r>
            <w:r w:rsidR="005917F0">
              <w:rPr>
                <w:sz w:val="23"/>
                <w:szCs w:val="23"/>
                <w:u w:val="single"/>
              </w:rPr>
              <w:t xml:space="preserve">Preliminary </w:t>
            </w:r>
            <w:r w:rsidRPr="007F5E3E">
              <w:rPr>
                <w:sz w:val="23"/>
                <w:szCs w:val="23"/>
                <w:u w:val="single"/>
              </w:rPr>
              <w:t>Spending</w:t>
            </w:r>
            <w:r w:rsidR="00F5567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 xml:space="preserve">Coefficient </w:t>
            </w:r>
            <w:r w:rsidR="00ED5D68">
              <w:rPr>
                <w:sz w:val="23"/>
                <w:szCs w:val="23"/>
                <w:u w:val="single"/>
              </w:rPr>
              <w:t>March</w:t>
            </w:r>
            <w:r w:rsidR="005917F0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Service Month/</w:t>
            </w:r>
            <w:r w:rsidR="00ED5D68">
              <w:rPr>
                <w:sz w:val="23"/>
                <w:szCs w:val="23"/>
                <w:u w:val="single"/>
              </w:rPr>
              <w:t>April</w:t>
            </w:r>
            <w:r w:rsidR="00F1492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Payment Month 202</w:t>
            </w:r>
            <w:r w:rsidR="001C4399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</w:rPr>
              <w:t xml:space="preserve">: </w:t>
            </w:r>
            <w:r w:rsidR="00ED5D68">
              <w:rPr>
                <w:sz w:val="23"/>
                <w:szCs w:val="23"/>
              </w:rPr>
              <w:t>80.09</w:t>
            </w:r>
            <w:r w:rsidR="00826829">
              <w:rPr>
                <w:sz w:val="23"/>
                <w:szCs w:val="23"/>
              </w:rPr>
              <w:t xml:space="preserve"> </w:t>
            </w:r>
            <w:r w:rsidR="001C4399">
              <w:rPr>
                <w:sz w:val="23"/>
                <w:szCs w:val="23"/>
              </w:rPr>
              <w:t>%</w:t>
            </w:r>
            <w:r w:rsidRPr="007F5E3E">
              <w:rPr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(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State </w:t>
            </w:r>
            <w:r w:rsidR="005917F0">
              <w:rPr>
                <w:b/>
                <w:bCs/>
                <w:i/>
                <w:sz w:val="23"/>
                <w:szCs w:val="23"/>
                <w:u w:val="single"/>
              </w:rPr>
              <w:t xml:space="preserve">Preliminary 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Spending Coefficient </w:t>
            </w:r>
            <w:r w:rsidR="00ED5D68">
              <w:rPr>
                <w:b/>
                <w:bCs/>
                <w:i/>
                <w:sz w:val="23"/>
                <w:szCs w:val="23"/>
                <w:u w:val="single"/>
              </w:rPr>
              <w:t>March</w:t>
            </w:r>
            <w:r w:rsidR="00AD7A8A"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>Service Month/</w:t>
            </w:r>
            <w:r w:rsidR="00ED5D68">
              <w:rPr>
                <w:b/>
                <w:bCs/>
                <w:i/>
                <w:sz w:val="23"/>
                <w:szCs w:val="23"/>
                <w:u w:val="single"/>
              </w:rPr>
              <w:t xml:space="preserve">April </w:t>
            </w:r>
            <w:r w:rsidR="00ED5D68" w:rsidRPr="0068485B">
              <w:rPr>
                <w:b/>
                <w:bCs/>
                <w:i/>
                <w:sz w:val="23"/>
                <w:szCs w:val="23"/>
                <w:u w:val="single"/>
              </w:rPr>
              <w:t>Payment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Month</w:t>
            </w:r>
            <w:r w:rsidRPr="0068485B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="00826829">
              <w:rPr>
                <w:b/>
                <w:bCs/>
                <w:i/>
                <w:sz w:val="23"/>
                <w:szCs w:val="23"/>
              </w:rPr>
              <w:t>77.</w:t>
            </w:r>
            <w:r w:rsidR="00ED5D68">
              <w:rPr>
                <w:b/>
                <w:bCs/>
                <w:i/>
                <w:sz w:val="23"/>
                <w:szCs w:val="23"/>
              </w:rPr>
              <w:t>68</w:t>
            </w:r>
            <w:r w:rsidR="00826829">
              <w:rPr>
                <w:b/>
                <w:bCs/>
                <w:i/>
                <w:sz w:val="23"/>
                <w:szCs w:val="23"/>
              </w:rPr>
              <w:t>%</w:t>
            </w:r>
            <w:r w:rsidR="0026453D" w:rsidRPr="0068485B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B35B8D0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26FFC653" w14:textId="1A1BC914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Number of County Transfers to Durham County in </w:t>
            </w:r>
            <w:r w:rsidR="002B0516">
              <w:rPr>
                <w:sz w:val="23"/>
                <w:szCs w:val="23"/>
                <w:u w:val="single"/>
              </w:rPr>
              <w:t>April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="0068485B">
              <w:rPr>
                <w:sz w:val="23"/>
                <w:szCs w:val="23"/>
              </w:rPr>
              <w:t xml:space="preserve">   </w:t>
            </w:r>
            <w:r w:rsidRPr="0068485B">
              <w:rPr>
                <w:b/>
                <w:bCs/>
                <w:sz w:val="23"/>
                <w:szCs w:val="23"/>
              </w:rPr>
              <w:t>Added-</w:t>
            </w:r>
            <w:r w:rsidR="002B0516">
              <w:rPr>
                <w:b/>
                <w:bCs/>
                <w:sz w:val="23"/>
                <w:szCs w:val="23"/>
              </w:rPr>
              <w:t xml:space="preserve">7 </w:t>
            </w:r>
            <w:r w:rsidR="004F0FB5">
              <w:rPr>
                <w:b/>
                <w:bCs/>
                <w:sz w:val="23"/>
                <w:szCs w:val="23"/>
              </w:rPr>
              <w:t>Famil</w:t>
            </w:r>
            <w:r w:rsidR="001C4399">
              <w:rPr>
                <w:b/>
                <w:bCs/>
                <w:sz w:val="23"/>
                <w:szCs w:val="23"/>
              </w:rPr>
              <w:t>ies</w:t>
            </w:r>
            <w:r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               </w:t>
            </w:r>
            <w:r w:rsidR="002B0516">
              <w:rPr>
                <w:b/>
                <w:bCs/>
                <w:sz w:val="23"/>
                <w:szCs w:val="23"/>
              </w:rPr>
              <w:t>62</w:t>
            </w:r>
            <w:r w:rsidR="001C4399">
              <w:rPr>
                <w:b/>
                <w:bCs/>
                <w:sz w:val="23"/>
                <w:szCs w:val="23"/>
              </w:rPr>
              <w:t xml:space="preserve"> Families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YTD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3D6831E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43F27E1" w14:textId="77777777" w:rsidTr="00712EFC">
        <w:trPr>
          <w:trHeight w:val="333"/>
        </w:trPr>
        <w:tc>
          <w:tcPr>
            <w:tcW w:w="8658" w:type="dxa"/>
          </w:tcPr>
          <w:p w14:paraId="56398829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  <w:p w14:paraId="78296322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2307" w:type="dxa"/>
          </w:tcPr>
          <w:p w14:paraId="66CD122D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</w:tbl>
    <w:p w14:paraId="565B4440" w14:textId="36FDC36E" w:rsidR="008F39F7" w:rsidRPr="007F5E3E" w:rsidRDefault="008F39F7" w:rsidP="002B0516">
      <w:pPr>
        <w:jc w:val="both"/>
        <w:rPr>
          <w:b/>
          <w:sz w:val="23"/>
          <w:szCs w:val="23"/>
          <w:u w:val="single"/>
        </w:rPr>
      </w:pPr>
      <w:proofErr w:type="gramStart"/>
      <w:r w:rsidRPr="007F5E3E">
        <w:rPr>
          <w:b/>
          <w:sz w:val="23"/>
          <w:szCs w:val="23"/>
          <w:u w:val="single"/>
        </w:rPr>
        <w:t>Program</w:t>
      </w:r>
      <w:proofErr w:type="gramEnd"/>
      <w:r w:rsidRPr="007F5E3E">
        <w:rPr>
          <w:b/>
          <w:sz w:val="23"/>
          <w:szCs w:val="23"/>
          <w:u w:val="single"/>
        </w:rPr>
        <w:t xml:space="preserve"> Updates: </w:t>
      </w:r>
    </w:p>
    <w:p w14:paraId="735E35CC" w14:textId="77777777" w:rsidR="005917F0" w:rsidRDefault="005917F0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Currently accepting applications.</w:t>
      </w:r>
    </w:p>
    <w:p w14:paraId="51E00F51" w14:textId="56447674" w:rsidR="00ED5D68" w:rsidRDefault="002F51CE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One vacancy for Social Worker </w:t>
      </w:r>
      <w:r w:rsidR="00ED5D68">
        <w:rPr>
          <w:rFonts w:ascii="Times New Roman" w:hAnsi="Times New Roman"/>
          <w:bCs/>
          <w:sz w:val="23"/>
          <w:szCs w:val="23"/>
        </w:rPr>
        <w:t xml:space="preserve">I due to internal promotion.  </w:t>
      </w:r>
      <w:proofErr w:type="gramStart"/>
      <w:r w:rsidR="001C76BA">
        <w:rPr>
          <w:rFonts w:ascii="Times New Roman" w:hAnsi="Times New Roman"/>
          <w:bCs/>
          <w:sz w:val="23"/>
          <w:szCs w:val="23"/>
        </w:rPr>
        <w:t>Requisition has</w:t>
      </w:r>
      <w:proofErr w:type="gramEnd"/>
      <w:r w:rsidR="00ED5D68">
        <w:rPr>
          <w:rFonts w:ascii="Times New Roman" w:hAnsi="Times New Roman"/>
          <w:bCs/>
          <w:sz w:val="23"/>
          <w:szCs w:val="23"/>
        </w:rPr>
        <w:t xml:space="preserve"> closed and supervisor is reviewing applicants.  </w:t>
      </w:r>
    </w:p>
    <w:p w14:paraId="41A802A1" w14:textId="0B11BF69" w:rsidR="00D542D9" w:rsidRDefault="001C76BA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Program Manager and Clarissa Davis, Supervisor, attended the 30</w:t>
      </w:r>
      <w:r w:rsidRPr="001C76BA">
        <w:rPr>
          <w:rFonts w:ascii="Times New Roman" w:hAnsi="Times New Roman"/>
          <w:bCs/>
          <w:sz w:val="23"/>
          <w:szCs w:val="23"/>
          <w:vertAlign w:val="superscript"/>
        </w:rPr>
        <w:t>th</w:t>
      </w:r>
      <w:r>
        <w:rPr>
          <w:rFonts w:ascii="Times New Roman" w:hAnsi="Times New Roman"/>
          <w:bCs/>
          <w:sz w:val="23"/>
          <w:szCs w:val="23"/>
        </w:rPr>
        <w:t xml:space="preserve"> Anniversary celebration for Durham’s Partnership for Children</w:t>
      </w:r>
      <w:r w:rsidR="00551734">
        <w:rPr>
          <w:rFonts w:ascii="Times New Roman" w:hAnsi="Times New Roman"/>
          <w:bCs/>
          <w:sz w:val="23"/>
          <w:szCs w:val="23"/>
        </w:rPr>
        <w:t xml:space="preserve"> on April 16</w:t>
      </w:r>
      <w:r w:rsidR="00551734" w:rsidRPr="00551734">
        <w:rPr>
          <w:rFonts w:ascii="Times New Roman" w:hAnsi="Times New Roman"/>
          <w:bCs/>
          <w:sz w:val="23"/>
          <w:szCs w:val="23"/>
          <w:vertAlign w:val="superscript"/>
        </w:rPr>
        <w:t>th</w:t>
      </w:r>
      <w:r w:rsidR="00551734">
        <w:rPr>
          <w:rFonts w:ascii="Times New Roman" w:hAnsi="Times New Roman"/>
          <w:bCs/>
          <w:sz w:val="23"/>
          <w:szCs w:val="23"/>
        </w:rPr>
        <w:t xml:space="preserve"> from 6pm-8pm at The Cotton Room.  </w:t>
      </w:r>
    </w:p>
    <w:p w14:paraId="7BC4CE53" w14:textId="6905B0FD" w:rsidR="00551734" w:rsidRDefault="00551734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Supervisor, Tiffaney Grady has been attending the Families and Communities Rising HS &amp; EHS Program Planning Meetings both in-person and virtual.  These meetings are weekly.  </w:t>
      </w:r>
    </w:p>
    <w:p w14:paraId="60327547" w14:textId="77777777" w:rsidR="005917F0" w:rsidRDefault="005917F0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3B3F25C5" w14:textId="77777777" w:rsidR="00732EDB" w:rsidRDefault="00732EDB" w:rsidP="00712EFC">
      <w:pPr>
        <w:jc w:val="center"/>
        <w:rPr>
          <w:rFonts w:ascii="Calibri Light" w:eastAsia="Aptos" w:hAnsi="Calibri Light" w:cs="Calibri Light"/>
          <w:b/>
          <w:color w:val="000000" w:themeColor="text1"/>
          <w:u w:val="single"/>
        </w:rPr>
      </w:pPr>
    </w:p>
    <w:p w14:paraId="41AD3CE1" w14:textId="77777777" w:rsidR="00562A6A" w:rsidRDefault="00562A6A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p w14:paraId="37A39A36" w14:textId="0BBD39C9" w:rsidR="00712EFC" w:rsidRDefault="00712EFC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  <w:r w:rsidRPr="00712EFC">
        <w:rPr>
          <w:rFonts w:ascii="Calibri Light" w:hAnsi="Calibri Light" w:cs="Calibri Light"/>
          <w:b/>
          <w:color w:val="002060"/>
          <w:u w:val="single"/>
        </w:rPr>
        <w:t xml:space="preserve">WFES &amp; MTAJ-NC Monthly Program Referrals </w:t>
      </w:r>
      <w:r w:rsidR="007060DB">
        <w:rPr>
          <w:rFonts w:ascii="Calibri Light" w:hAnsi="Calibri Light" w:cs="Calibri Light"/>
          <w:b/>
          <w:color w:val="002060"/>
          <w:u w:val="single"/>
        </w:rPr>
        <w:t xml:space="preserve">April </w:t>
      </w:r>
      <w:r w:rsidR="001A2838">
        <w:rPr>
          <w:rFonts w:ascii="Calibri Light" w:hAnsi="Calibri Light" w:cs="Calibri Light"/>
          <w:b/>
          <w:color w:val="002060"/>
          <w:u w:val="single"/>
        </w:rPr>
        <w:t>2</w:t>
      </w:r>
      <w:r w:rsidRPr="00712EFC">
        <w:rPr>
          <w:rFonts w:ascii="Calibri Light" w:hAnsi="Calibri Light" w:cs="Calibri Light"/>
          <w:b/>
          <w:color w:val="002060"/>
          <w:u w:val="single"/>
        </w:rPr>
        <w:t>02</w:t>
      </w:r>
      <w:r w:rsidR="00847EF1">
        <w:rPr>
          <w:rFonts w:ascii="Calibri Light" w:hAnsi="Calibri Light" w:cs="Calibri Light"/>
          <w:b/>
          <w:color w:val="002060"/>
          <w:u w:val="single"/>
        </w:rPr>
        <w:t>6</w:t>
      </w:r>
    </w:p>
    <w:p w14:paraId="36005D2E" w14:textId="77777777" w:rsidR="00847EF1" w:rsidRDefault="00847EF1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tbl>
      <w:tblPr>
        <w:tblW w:w="7455" w:type="dxa"/>
        <w:tblInd w:w="1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1620"/>
      </w:tblGrid>
      <w:tr w:rsidR="0098173B" w14:paraId="7B09431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A21E08A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WFES &amp; MTAJ-NC Supportive Service &amp; Community Partner Program Referrals/Resources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0B0005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Total # of Clients Referred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5D1F6FE" w14:textId="77777777" w:rsidTr="0098173B">
        <w:trPr>
          <w:trHeight w:val="33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F2D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QSAP (Freedom House)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428E7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561C22AA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3647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DV/ Stand Up Speak Out 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30FC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4470D01F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BE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EIPD (VR)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79F8D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2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42E4F2C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FE51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GCF/Allison/ Website E-Learning Modules 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4716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521B7D0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2A9B0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Work Experience/ Community Service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4A64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6F2CF4D7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87F57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Volunteer/Internship/Work Study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E182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61ECAEDA" w14:textId="77777777" w:rsidTr="0098173B">
        <w:trPr>
          <w:trHeight w:val="16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DA4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 Going Places Network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7F7DD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33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131FDFAC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CBAB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 Career Coaching/WEDNESDAY WEBINARS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3D3B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57BBD91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77CA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 Networking for Success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63F7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77C4434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43E6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STEP UP Durham Employment Workshop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4112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1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1DDF64FA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51B0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NextGen/Eckerd Connects/Bull City Youth Build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9BC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2B61DCEC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19C32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Church World Services Employment Services (Refugees)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E7AD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24F7F909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13FD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El Centro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CAAFA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42F17B8E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99B4B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NC WORKS Career Center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81F5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474A75ED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DD17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WIOA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F576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3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0BB39E9C" w14:textId="77777777" w:rsidTr="0098173B">
        <w:trPr>
          <w:trHeight w:val="34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AD892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Technical Community College /Human Resource Development Courses (Workforce Development) OR PIVOT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319DA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0BA06226" w14:textId="77777777" w:rsidTr="0098173B">
        <w:trPr>
          <w:trHeight w:val="34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8750E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Technical Community College Vocational Training (10-Week Phlebotomy Programs Open House)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5E4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33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2699670" w14:textId="77777777" w:rsidTr="0098173B">
        <w:trPr>
          <w:trHeight w:val="25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200A2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Literacy/ESL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EFC80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022EDEFB" w14:textId="77777777" w:rsidTr="0098173B">
        <w:trPr>
          <w:trHeight w:val="25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1BA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Share Your Holiday- Distribution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AD51F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C21501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CF90E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Job Leads/Job Referrals/Hiring Events (Food Lion, The Budd Group Open House, Raleigh Express Employment,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Cormetech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Hiring Event, Onin Staffing Job Fair, Spring NC Energy Virtual Career Fair, Habitat for Humanity Job Opportunity, NC Works, Career Fair &amp; DSS Leads)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B7EEE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37 clients- 10 different hiring events/leads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5C4AF6B7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993AF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Church/Community/Food Resources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95EA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12B0A5A9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B9F9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Welcome Baby Resources /The Giving Closet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66A16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27A8D4E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00BCE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DSS Crisis Rent &amp; Utility Assistance Resources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19548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03BFB79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BA0E5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Mindfulness/Meditation Information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82CE8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2507960B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161B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Counseling Services/ Mental Health Resources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7013F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7650E261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3FAC4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REENTRY SERVICES/LRC COORDINATOR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7F1B8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665D44D4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98878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DSS Childcare Referral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5265B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1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0F001AB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55B4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Coordinated Intake/Entry Point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A852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7B76C33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CD996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Families &amp; Community Rising Event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088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33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</w:tbl>
    <w:p w14:paraId="01722C89" w14:textId="14252D8C" w:rsidR="00D377EB" w:rsidRPr="00D673A4" w:rsidRDefault="00D377EB" w:rsidP="00ED5D68">
      <w:pPr>
        <w:jc w:val="center"/>
        <w:rPr>
          <w:b/>
          <w:bCs/>
          <w:sz w:val="20"/>
          <w:szCs w:val="20"/>
        </w:rPr>
      </w:pPr>
      <w:r w:rsidRPr="00D673A4">
        <w:rPr>
          <w:b/>
          <w:bCs/>
          <w:sz w:val="20"/>
          <w:szCs w:val="20"/>
        </w:rPr>
        <w:t>*Data Source: Worker Reported</w:t>
      </w:r>
    </w:p>
    <w:p w14:paraId="31F76227" w14:textId="77777777" w:rsidR="00ED5D68" w:rsidRDefault="00ED5D68" w:rsidP="0098173B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p w14:paraId="2BA8DF0D" w14:textId="66FA78C1" w:rsidR="0069245E" w:rsidRDefault="0069245E" w:rsidP="0098173B">
      <w:pPr>
        <w:jc w:val="center"/>
        <w:rPr>
          <w:rFonts w:ascii="Calibri Light" w:hAnsi="Calibri Light" w:cs="Calibri Light"/>
          <w:b/>
          <w:color w:val="002060"/>
          <w:u w:val="single"/>
        </w:rPr>
      </w:pPr>
      <w:r w:rsidRPr="0069245E">
        <w:rPr>
          <w:rFonts w:ascii="Calibri Light" w:hAnsi="Calibri Light" w:cs="Calibri Light"/>
          <w:b/>
          <w:color w:val="002060"/>
          <w:u w:val="single"/>
        </w:rPr>
        <w:t xml:space="preserve">WFES Unit-New-Hire Employment Report </w:t>
      </w:r>
      <w:r w:rsidR="007060DB">
        <w:rPr>
          <w:rFonts w:ascii="Calibri Light" w:hAnsi="Calibri Light" w:cs="Calibri Light"/>
          <w:b/>
          <w:color w:val="002060"/>
          <w:u w:val="single"/>
        </w:rPr>
        <w:t xml:space="preserve">April </w:t>
      </w:r>
      <w:r w:rsidRPr="0069245E">
        <w:rPr>
          <w:rFonts w:ascii="Calibri Light" w:hAnsi="Calibri Light" w:cs="Calibri Light"/>
          <w:b/>
          <w:color w:val="002060"/>
          <w:u w:val="single"/>
        </w:rPr>
        <w:t>202</w:t>
      </w:r>
      <w:r w:rsidR="00847EF1">
        <w:rPr>
          <w:rFonts w:ascii="Calibri Light" w:hAnsi="Calibri Light" w:cs="Calibri Light"/>
          <w:b/>
          <w:color w:val="002060"/>
          <w:u w:val="single"/>
        </w:rPr>
        <w:t>6</w:t>
      </w:r>
    </w:p>
    <w:p w14:paraId="3503DF8B" w14:textId="77777777" w:rsidR="0069245E" w:rsidRDefault="0069245E" w:rsidP="0069245E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p w14:paraId="231C72C1" w14:textId="41FE33B1" w:rsidR="004D2602" w:rsidRPr="004D2602" w:rsidRDefault="004D2602" w:rsidP="004D2602">
      <w:pPr>
        <w:pStyle w:val="ListParagraph"/>
        <w:numPr>
          <w:ilvl w:val="0"/>
          <w:numId w:val="49"/>
        </w:num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(</w:t>
      </w:r>
      <w:r w:rsidR="0098173B">
        <w:rPr>
          <w:bCs/>
          <w:sz w:val="28"/>
          <w:szCs w:val="28"/>
        </w:rPr>
        <w:t>3</w:t>
      </w:r>
      <w:r w:rsidRPr="004D2602">
        <w:rPr>
          <w:bCs/>
          <w:sz w:val="28"/>
          <w:szCs w:val="28"/>
        </w:rPr>
        <w:t xml:space="preserve">) participants accepted employment. </w:t>
      </w:r>
    </w:p>
    <w:p w14:paraId="7DDA21C5" w14:textId="77777777" w:rsidR="00AF487B" w:rsidRDefault="004D2602" w:rsidP="004D2602">
      <w:pPr>
        <w:pStyle w:val="ListParagraph"/>
        <w:numPr>
          <w:ilvl w:val="0"/>
          <w:numId w:val="49"/>
        </w:numPr>
        <w:rPr>
          <w:bCs/>
          <w:sz w:val="28"/>
          <w:szCs w:val="28"/>
        </w:rPr>
      </w:pPr>
      <w:r w:rsidRPr="004D2602">
        <w:rPr>
          <w:bCs/>
          <w:sz w:val="28"/>
          <w:szCs w:val="28"/>
        </w:rPr>
        <w:t xml:space="preserve"> One participant accepted part-time employment; </w:t>
      </w:r>
      <w:r w:rsidR="0098173B">
        <w:rPr>
          <w:bCs/>
          <w:sz w:val="28"/>
          <w:szCs w:val="28"/>
        </w:rPr>
        <w:t xml:space="preserve">Absolute Homecare Agency at $15/hour as Personal Care Assistant.  </w:t>
      </w:r>
    </w:p>
    <w:p w14:paraId="1CC74F6D" w14:textId="4736AC91" w:rsidR="00847EF1" w:rsidRDefault="00AF487B" w:rsidP="00AF487B">
      <w:pPr>
        <w:pStyle w:val="ListParagraph"/>
        <w:numPr>
          <w:ilvl w:val="0"/>
          <w:numId w:val="49"/>
        </w:numPr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 xml:space="preserve">(2) participants accepted full-time employment; Smoothie King at $9/hour as Cashier and another participant at $7.25/hour at Durham Rescue Mission (Temporary Agency) as Associate.  </w:t>
      </w:r>
    </w:p>
    <w:p w14:paraId="72A82EBD" w14:textId="77777777" w:rsidR="00847EF1" w:rsidRDefault="00847EF1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2FEA014E" w14:textId="253EBB67" w:rsidR="0010314F" w:rsidRPr="00907402" w:rsidRDefault="0010314F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t>FEI R</w:t>
      </w:r>
      <w:r w:rsidR="00222499"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t>ECERTIFICATIONS: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3697"/>
        <w:gridCol w:w="2973"/>
        <w:gridCol w:w="2973"/>
      </w:tblGrid>
      <w:tr w:rsidR="00B30DF4" w:rsidRPr="00907402" w14:paraId="43383244" w14:textId="77777777" w:rsidTr="00B30DF4">
        <w:trPr>
          <w:trHeight w:val="674"/>
        </w:trPr>
        <w:tc>
          <w:tcPr>
            <w:tcW w:w="9643" w:type="dxa"/>
            <w:gridSpan w:val="3"/>
            <w:shd w:val="clear" w:color="auto" w:fill="9CC2E5" w:themeFill="accent1" w:themeFillTint="99"/>
          </w:tcPr>
          <w:p w14:paraId="20DC6C6C" w14:textId="7394C177" w:rsidR="00B30DF4" w:rsidRPr="00907402" w:rsidRDefault="00B30DF4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 xml:space="preserve">Participants Summary – </w:t>
            </w:r>
            <w:r w:rsidR="0072652F"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  <w:r w:rsidR="00164E76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B30DF4" w:rsidRPr="00907402" w14:paraId="193C2EAB" w14:textId="77777777" w:rsidTr="00B30DF4">
        <w:trPr>
          <w:trHeight w:val="530"/>
        </w:trPr>
        <w:tc>
          <w:tcPr>
            <w:tcW w:w="3697" w:type="dxa"/>
          </w:tcPr>
          <w:p w14:paraId="5DED3C09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973" w:type="dxa"/>
          </w:tcPr>
          <w:p w14:paraId="7124FD3C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Cases</w:t>
            </w:r>
          </w:p>
        </w:tc>
        <w:tc>
          <w:tcPr>
            <w:tcW w:w="2973" w:type="dxa"/>
          </w:tcPr>
          <w:p w14:paraId="3313CA14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Participants</w:t>
            </w:r>
          </w:p>
        </w:tc>
      </w:tr>
      <w:tr w:rsidR="00B30DF4" w:rsidRPr="00907402" w14:paraId="22DCC57D" w14:textId="77777777" w:rsidTr="00B30DF4">
        <w:tc>
          <w:tcPr>
            <w:tcW w:w="3697" w:type="dxa"/>
          </w:tcPr>
          <w:p w14:paraId="34D721F3" w14:textId="77777777" w:rsidR="00B30DF4" w:rsidRPr="00907402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Food and Nutrition Services</w:t>
            </w:r>
          </w:p>
        </w:tc>
        <w:tc>
          <w:tcPr>
            <w:tcW w:w="2973" w:type="dxa"/>
          </w:tcPr>
          <w:p w14:paraId="3C3E3A39" w14:textId="2EF7F6B8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15,009</w:t>
            </w:r>
          </w:p>
        </w:tc>
        <w:tc>
          <w:tcPr>
            <w:tcW w:w="2973" w:type="dxa"/>
          </w:tcPr>
          <w:p w14:paraId="3A4C7978" w14:textId="34F65D29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29,586</w:t>
            </w:r>
          </w:p>
        </w:tc>
      </w:tr>
      <w:tr w:rsidR="00B30DF4" w:rsidRPr="00B742D5" w14:paraId="23F0B61E" w14:textId="77777777" w:rsidTr="00B30DF4">
        <w:trPr>
          <w:trHeight w:val="692"/>
        </w:trPr>
        <w:tc>
          <w:tcPr>
            <w:tcW w:w="3697" w:type="dxa"/>
          </w:tcPr>
          <w:p w14:paraId="0A911E89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973" w:type="dxa"/>
          </w:tcPr>
          <w:p w14:paraId="7C4D243D" w14:textId="18188AE5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2973" w:type="dxa"/>
          </w:tcPr>
          <w:p w14:paraId="36743A63" w14:textId="77A2DBA1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B30DF4" w:rsidRPr="00B742D5" w14:paraId="3C992C51" w14:textId="77777777" w:rsidTr="00B30DF4">
        <w:trPr>
          <w:trHeight w:val="440"/>
        </w:trPr>
        <w:tc>
          <w:tcPr>
            <w:tcW w:w="3697" w:type="dxa"/>
          </w:tcPr>
          <w:p w14:paraId="648761AE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Benefit</w:t>
            </w:r>
          </w:p>
        </w:tc>
        <w:tc>
          <w:tcPr>
            <w:tcW w:w="2973" w:type="dxa"/>
          </w:tcPr>
          <w:p w14:paraId="38BB46AC" w14:textId="320346AB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973" w:type="dxa"/>
          </w:tcPr>
          <w:p w14:paraId="039314FF" w14:textId="0135441C" w:rsidR="00B30DF4" w:rsidRPr="00377E18" w:rsidRDefault="004750AF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E02B9" w:rsidRPr="00B742D5" w14:paraId="405C37A6" w14:textId="77777777" w:rsidTr="00B30DF4">
        <w:trPr>
          <w:trHeight w:val="440"/>
        </w:trPr>
        <w:tc>
          <w:tcPr>
            <w:tcW w:w="3697" w:type="dxa"/>
          </w:tcPr>
          <w:p w14:paraId="0C18FD3D" w14:textId="6FF8663F" w:rsidR="007E02B9" w:rsidRPr="00B742D5" w:rsidRDefault="007E02B9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Benefit Diversion</w:t>
            </w:r>
          </w:p>
        </w:tc>
        <w:tc>
          <w:tcPr>
            <w:tcW w:w="2973" w:type="dxa"/>
          </w:tcPr>
          <w:p w14:paraId="35B7BCAA" w14:textId="27777679" w:rsidR="007E02B9" w:rsidRDefault="007E02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64CDA5BD" w14:textId="2D08D5E7" w:rsidR="007E02B9" w:rsidRDefault="007E02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30DF4" w:rsidRPr="00B742D5" w14:paraId="25FC6E85" w14:textId="77777777" w:rsidTr="00B30DF4">
        <w:trPr>
          <w:trHeight w:val="440"/>
        </w:trPr>
        <w:tc>
          <w:tcPr>
            <w:tcW w:w="3697" w:type="dxa"/>
          </w:tcPr>
          <w:p w14:paraId="5B45E34F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2973" w:type="dxa"/>
          </w:tcPr>
          <w:p w14:paraId="232E3D45" w14:textId="796B0522" w:rsidR="00B30DF4" w:rsidRPr="00377E18" w:rsidRDefault="007E02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15,135</w:t>
            </w:r>
          </w:p>
        </w:tc>
        <w:tc>
          <w:tcPr>
            <w:tcW w:w="2973" w:type="dxa"/>
          </w:tcPr>
          <w:p w14:paraId="3FF1454D" w14:textId="0EA62179" w:rsidR="00B30DF4" w:rsidRPr="00377E18" w:rsidRDefault="007E02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29,800</w:t>
            </w:r>
          </w:p>
        </w:tc>
      </w:tr>
    </w:tbl>
    <w:p w14:paraId="37A0C075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20B2E17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69B05A5" w14:textId="00BA6FFD" w:rsidR="0010314F" w:rsidRPr="00B742D5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B742D5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30ACDE1" w14:textId="77777777" w:rsidR="00422B8B" w:rsidRPr="00E46DAB" w:rsidRDefault="00422B8B" w:rsidP="00E46DAB">
      <w:pPr>
        <w:rPr>
          <w:bCs/>
          <w:i/>
          <w:iCs/>
          <w:sz w:val="16"/>
          <w:szCs w:val="16"/>
        </w:rPr>
      </w:pPr>
    </w:p>
    <w:p w14:paraId="38BADD7D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E0" w:firstRow="1" w:lastRow="1" w:firstColumn="1" w:lastColumn="0" w:noHBand="0" w:noVBand="1"/>
      </w:tblPr>
      <w:tblGrid>
        <w:gridCol w:w="2954"/>
        <w:gridCol w:w="2229"/>
        <w:gridCol w:w="2230"/>
        <w:gridCol w:w="2230"/>
      </w:tblGrid>
      <w:tr w:rsidR="00B30DF4" w14:paraId="6BC1AD2D" w14:textId="77777777" w:rsidTr="008E4275">
        <w:trPr>
          <w:trHeight w:val="584"/>
        </w:trPr>
        <w:tc>
          <w:tcPr>
            <w:tcW w:w="9643" w:type="dxa"/>
            <w:gridSpan w:val="4"/>
            <w:shd w:val="clear" w:color="auto" w:fill="9CC2E5" w:themeFill="accent1" w:themeFillTint="99"/>
          </w:tcPr>
          <w:p w14:paraId="5476C71E" w14:textId="0073A2B8" w:rsidR="00B30DF4" w:rsidRPr="00AF753B" w:rsidRDefault="00B30DF4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53B">
              <w:rPr>
                <w:rFonts w:ascii="Times New Roman" w:hAnsi="Times New Roman"/>
                <w:b/>
                <w:sz w:val="24"/>
                <w:szCs w:val="24"/>
              </w:rPr>
              <w:t xml:space="preserve">Recertifications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652F"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  <w:r w:rsidR="00164E76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B30DF4" w14:paraId="3FD1D062" w14:textId="77777777" w:rsidTr="008E4275">
        <w:tc>
          <w:tcPr>
            <w:tcW w:w="2954" w:type="dxa"/>
          </w:tcPr>
          <w:p w14:paraId="001D8B0B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229" w:type="dxa"/>
          </w:tcPr>
          <w:p w14:paraId="086BC37F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Due</w:t>
            </w:r>
          </w:p>
        </w:tc>
        <w:tc>
          <w:tcPr>
            <w:tcW w:w="2230" w:type="dxa"/>
          </w:tcPr>
          <w:p w14:paraId="29378FD8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Completed</w:t>
            </w:r>
          </w:p>
        </w:tc>
        <w:tc>
          <w:tcPr>
            <w:tcW w:w="2230" w:type="dxa"/>
          </w:tcPr>
          <w:p w14:paraId="539615DE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Timeliness %</w:t>
            </w:r>
          </w:p>
        </w:tc>
      </w:tr>
      <w:tr w:rsidR="00B30DF4" w:rsidRPr="001563E2" w14:paraId="16CACCB6" w14:textId="77777777" w:rsidTr="008E4275">
        <w:trPr>
          <w:trHeight w:val="377"/>
        </w:trPr>
        <w:tc>
          <w:tcPr>
            <w:tcW w:w="2954" w:type="dxa"/>
          </w:tcPr>
          <w:p w14:paraId="6F3422F4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Food Nutrition Services</w:t>
            </w:r>
          </w:p>
        </w:tc>
        <w:tc>
          <w:tcPr>
            <w:tcW w:w="2229" w:type="dxa"/>
          </w:tcPr>
          <w:p w14:paraId="3E2DE54C" w14:textId="031C4801" w:rsidR="00B30DF4" w:rsidRPr="00377E18" w:rsidRDefault="001F39A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2,002</w:t>
            </w:r>
          </w:p>
        </w:tc>
        <w:tc>
          <w:tcPr>
            <w:tcW w:w="2230" w:type="dxa"/>
          </w:tcPr>
          <w:p w14:paraId="01C27BCA" w14:textId="77F42E1C" w:rsidR="00B30DF4" w:rsidRPr="00377E18" w:rsidRDefault="001F39A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1,543</w:t>
            </w:r>
          </w:p>
        </w:tc>
        <w:tc>
          <w:tcPr>
            <w:tcW w:w="2230" w:type="dxa"/>
          </w:tcPr>
          <w:p w14:paraId="1D13AC6E" w14:textId="538732E5" w:rsidR="00B30DF4" w:rsidRPr="00377E18" w:rsidRDefault="001F39AB" w:rsidP="001F39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B49D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.86%</w:t>
            </w:r>
          </w:p>
        </w:tc>
      </w:tr>
      <w:tr w:rsidR="00B30DF4" w:rsidRPr="001563E2" w14:paraId="47413C6F" w14:textId="77777777" w:rsidTr="008E4275">
        <w:tc>
          <w:tcPr>
            <w:tcW w:w="2954" w:type="dxa"/>
          </w:tcPr>
          <w:p w14:paraId="7D1C16F0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229" w:type="dxa"/>
          </w:tcPr>
          <w:p w14:paraId="39A8F790" w14:textId="57D17A23" w:rsidR="00B30DF4" w:rsidRPr="00377E18" w:rsidRDefault="007060D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30" w:type="dxa"/>
          </w:tcPr>
          <w:p w14:paraId="222E2B40" w14:textId="42BB2525" w:rsidR="00B30DF4" w:rsidRPr="00377E18" w:rsidRDefault="007060D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14:paraId="603E0B38" w14:textId="3CCFC59C" w:rsidR="00B30DF4" w:rsidRPr="00377E18" w:rsidRDefault="007060D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88.89%</w:t>
            </w:r>
          </w:p>
        </w:tc>
      </w:tr>
      <w:tr w:rsidR="00B30DF4" w:rsidRPr="001563E2" w14:paraId="6EA38073" w14:textId="77777777" w:rsidTr="008E4275">
        <w:trPr>
          <w:trHeight w:val="323"/>
        </w:trPr>
        <w:tc>
          <w:tcPr>
            <w:tcW w:w="2954" w:type="dxa"/>
          </w:tcPr>
          <w:p w14:paraId="2CB8470A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29" w:type="dxa"/>
          </w:tcPr>
          <w:p w14:paraId="348A26DF" w14:textId="6C124C1E" w:rsidR="00B30DF4" w:rsidRPr="00377E18" w:rsidRDefault="001F39A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2,016</w:t>
            </w:r>
          </w:p>
        </w:tc>
        <w:tc>
          <w:tcPr>
            <w:tcW w:w="2230" w:type="dxa"/>
          </w:tcPr>
          <w:p w14:paraId="3302037E" w14:textId="6762FEDE" w:rsidR="00B30DF4" w:rsidRPr="00377E18" w:rsidRDefault="001F39A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1,551</w:t>
            </w:r>
          </w:p>
        </w:tc>
        <w:tc>
          <w:tcPr>
            <w:tcW w:w="2230" w:type="dxa"/>
          </w:tcPr>
          <w:p w14:paraId="6F4CC160" w14:textId="63CBC4CA" w:rsidR="00B30DF4" w:rsidRPr="00377E18" w:rsidRDefault="001F39AB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93.87%</w:t>
            </w:r>
          </w:p>
        </w:tc>
      </w:tr>
    </w:tbl>
    <w:p w14:paraId="05B6CFA5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73376E15" w14:textId="77777777" w:rsidR="001563E2" w:rsidRDefault="001563E2" w:rsidP="001563E2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422B8B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1884CC4" w14:textId="41D5162D" w:rsidR="00244383" w:rsidRPr="00162C11" w:rsidRDefault="00244383" w:rsidP="00162C11">
      <w:pPr>
        <w:rPr>
          <w:b/>
        </w:rPr>
      </w:pPr>
    </w:p>
    <w:p w14:paraId="630D16D3" w14:textId="77777777" w:rsidR="00757949" w:rsidRPr="0026453D" w:rsidRDefault="00757949" w:rsidP="0048786E">
      <w:pPr>
        <w:rPr>
          <w:rFonts w:eastAsiaTheme="minorEastAsia"/>
          <w:b/>
          <w:bCs/>
          <w:u w:val="single"/>
        </w:rPr>
      </w:pPr>
    </w:p>
    <w:p w14:paraId="09D78167" w14:textId="745F90F1" w:rsidR="0048786E" w:rsidRPr="0026453D" w:rsidRDefault="0048786E" w:rsidP="0048786E">
      <w:pPr>
        <w:rPr>
          <w:rFonts w:eastAsiaTheme="minorEastAsia"/>
          <w:b/>
          <w:bCs/>
          <w:u w:val="single"/>
        </w:rPr>
      </w:pPr>
      <w:r w:rsidRPr="0026453D">
        <w:rPr>
          <w:rFonts w:eastAsiaTheme="minorEastAsia"/>
          <w:b/>
          <w:bCs/>
          <w:u w:val="single"/>
        </w:rPr>
        <w:t xml:space="preserve">Human Service Technician (HST) Unit Summary for </w:t>
      </w:r>
      <w:r w:rsidR="0072652F">
        <w:rPr>
          <w:rFonts w:eastAsiaTheme="minorEastAsia"/>
          <w:b/>
          <w:bCs/>
          <w:u w:val="single"/>
        </w:rPr>
        <w:t>April</w:t>
      </w:r>
      <w:r w:rsidR="00826829">
        <w:rPr>
          <w:rFonts w:eastAsiaTheme="minorEastAsia"/>
          <w:b/>
          <w:bCs/>
          <w:u w:val="single"/>
        </w:rPr>
        <w:t xml:space="preserve"> </w:t>
      </w:r>
      <w:r w:rsidR="00E5072E">
        <w:rPr>
          <w:rFonts w:eastAsiaTheme="minorEastAsia"/>
          <w:b/>
          <w:bCs/>
          <w:u w:val="single"/>
        </w:rPr>
        <w:t>2026</w:t>
      </w:r>
    </w:p>
    <w:p w14:paraId="2B8BEFDC" w14:textId="77777777" w:rsidR="0048786E" w:rsidRPr="0026453D" w:rsidRDefault="0048786E" w:rsidP="0048786E">
      <w:pPr>
        <w:rPr>
          <w:rFonts w:eastAsiaTheme="minorEastAsia"/>
          <w:b/>
          <w:bCs/>
          <w:u w:val="single"/>
        </w:rPr>
      </w:pPr>
    </w:p>
    <w:p w14:paraId="327DA18A" w14:textId="6A37D711" w:rsidR="0048786E" w:rsidRPr="0026453D" w:rsidRDefault="0048786E" w:rsidP="0048786E">
      <w:pPr>
        <w:rPr>
          <w:rFonts w:eastAsiaTheme="minorEastAsia"/>
        </w:rPr>
      </w:pPr>
      <w:r w:rsidRPr="0026453D">
        <w:rPr>
          <w:rFonts w:eastAsiaTheme="minorEastAsia"/>
        </w:rPr>
        <w:t xml:space="preserve">Effective </w:t>
      </w:r>
      <w:r w:rsidR="005645AE">
        <w:rPr>
          <w:rFonts w:eastAsiaTheme="minorEastAsia"/>
        </w:rPr>
        <w:t>February 2026</w:t>
      </w:r>
      <w:r w:rsidRPr="0026453D">
        <w:rPr>
          <w:rFonts w:eastAsiaTheme="minorEastAsia"/>
        </w:rPr>
        <w:t xml:space="preserve"> the </w:t>
      </w:r>
      <w:r w:rsidR="005645AE">
        <w:rPr>
          <w:rFonts w:eastAsiaTheme="minorEastAsia"/>
        </w:rPr>
        <w:t>4</w:t>
      </w:r>
      <w:r w:rsidRPr="0026453D">
        <w:rPr>
          <w:rFonts w:eastAsiaTheme="minorEastAsia"/>
        </w:rPr>
        <w:t xml:space="preserve"> HSTs are working collectively to support the Food and Nutrition Services Applications and Recertifications Teams.  </w:t>
      </w:r>
    </w:p>
    <w:p w14:paraId="18AB0413" w14:textId="77777777" w:rsidR="0048786E" w:rsidRPr="0026453D" w:rsidRDefault="0048786E" w:rsidP="0048786E">
      <w:pPr>
        <w:rPr>
          <w:rFonts w:eastAsiaTheme="minorEastAsia"/>
        </w:rPr>
      </w:pPr>
    </w:p>
    <w:p w14:paraId="73C817AE" w14:textId="153C7731" w:rsidR="0048786E" w:rsidRPr="00BD2D7F" w:rsidRDefault="005645AE" w:rsidP="0048786E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HSTs submitted </w:t>
      </w:r>
      <w:r w:rsidR="005867D3">
        <w:rPr>
          <w:rFonts w:ascii="Times New Roman" w:eastAsiaTheme="minorEastAsia" w:hAnsi="Times New Roman"/>
          <w:sz w:val="24"/>
          <w:szCs w:val="24"/>
        </w:rPr>
        <w:t>388</w:t>
      </w:r>
      <w:r w:rsidR="0048786E" w:rsidRPr="00BD2D7F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>FNS paper applications</w:t>
      </w:r>
      <w:r w:rsidR="00497B17">
        <w:rPr>
          <w:rFonts w:ascii="Times New Roman" w:eastAsiaTheme="minorEastAsia" w:hAnsi="Times New Roman"/>
          <w:sz w:val="24"/>
          <w:szCs w:val="24"/>
        </w:rPr>
        <w:t>,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27824">
        <w:rPr>
          <w:rFonts w:ascii="Times New Roman" w:eastAsiaTheme="minorEastAsia" w:hAnsi="Times New Roman"/>
          <w:sz w:val="24"/>
          <w:szCs w:val="24"/>
        </w:rPr>
        <w:t>10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late recertifications</w:t>
      </w:r>
      <w:r w:rsidR="00CF5B61">
        <w:rPr>
          <w:rFonts w:ascii="Times New Roman" w:eastAsiaTheme="minorEastAsia" w:hAnsi="Times New Roman"/>
          <w:sz w:val="24"/>
          <w:szCs w:val="24"/>
        </w:rPr>
        <w:t>, scanned, uplo</w:t>
      </w:r>
      <w:r w:rsidR="00497B17">
        <w:rPr>
          <w:rFonts w:ascii="Times New Roman" w:eastAsiaTheme="minorEastAsia" w:hAnsi="Times New Roman"/>
          <w:sz w:val="24"/>
          <w:szCs w:val="24"/>
        </w:rPr>
        <w:t xml:space="preserve">aded, </w:t>
      </w:r>
      <w:r w:rsidR="00CF5B61">
        <w:rPr>
          <w:rFonts w:ascii="Times New Roman" w:eastAsiaTheme="minorEastAsia" w:hAnsi="Times New Roman"/>
          <w:sz w:val="24"/>
          <w:szCs w:val="24"/>
        </w:rPr>
        <w:t>and routed 655 emails received via the</w:t>
      </w:r>
      <w:r w:rsidR="00D27824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9" w:history="1">
        <w:r w:rsidR="00D27824" w:rsidRPr="00A94FD5">
          <w:rPr>
            <w:rStyle w:val="Hyperlink"/>
            <w:rFonts w:ascii="Times New Roman" w:eastAsiaTheme="minorEastAsia" w:hAnsi="Times New Roman"/>
            <w:sz w:val="24"/>
            <w:szCs w:val="24"/>
          </w:rPr>
          <w:t>FNSverifications@dconc.gov</w:t>
        </w:r>
      </w:hyperlink>
      <w:r w:rsidR="00D27824">
        <w:rPr>
          <w:rFonts w:ascii="Times New Roman" w:eastAsiaTheme="minorEastAsia" w:hAnsi="Times New Roman"/>
          <w:sz w:val="24"/>
          <w:szCs w:val="24"/>
        </w:rPr>
        <w:t xml:space="preserve"> email box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03EFB036" w14:textId="77777777" w:rsidR="00244383" w:rsidRPr="00833534" w:rsidRDefault="00244383" w:rsidP="0048786E">
      <w:pPr>
        <w:rPr>
          <w:b/>
          <w:color w:val="EE0000"/>
        </w:rPr>
      </w:pPr>
    </w:p>
    <w:sectPr w:rsidR="00244383" w:rsidRPr="00833534" w:rsidSect="007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4BA24"/>
    <w:multiLevelType w:val="hybridMultilevel"/>
    <w:tmpl w:val="3CB9F878"/>
    <w:lvl w:ilvl="0" w:tplc="FFFFFFFF">
      <w:start w:val="1"/>
      <w:numFmt w:val="bullet"/>
      <w:lvlText w:val="•"/>
      <w:lvlJc w:val="left"/>
    </w:lvl>
    <w:lvl w:ilvl="1" w:tplc="DCD04A56">
      <w:start w:val="1"/>
      <w:numFmt w:val="bullet"/>
      <w:lvlText w:val="•"/>
      <w:lvlJc w:val="left"/>
    </w:lvl>
    <w:lvl w:ilvl="2" w:tplc="3AD39FDB">
      <w:start w:val="1"/>
      <w:numFmt w:val="bullet"/>
      <w:lvlText w:val="•"/>
      <w:lvlJc w:val="left"/>
    </w:lvl>
    <w:lvl w:ilvl="3" w:tplc="384E7CC6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621CD"/>
    <w:multiLevelType w:val="hybridMultilevel"/>
    <w:tmpl w:val="D736B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739A9"/>
    <w:multiLevelType w:val="hybridMultilevel"/>
    <w:tmpl w:val="ACA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D5E"/>
    <w:multiLevelType w:val="hybridMultilevel"/>
    <w:tmpl w:val="2616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0C7"/>
    <w:multiLevelType w:val="hybridMultilevel"/>
    <w:tmpl w:val="79D45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57A7E"/>
    <w:multiLevelType w:val="hybridMultilevel"/>
    <w:tmpl w:val="E59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4BD"/>
    <w:multiLevelType w:val="hybridMultilevel"/>
    <w:tmpl w:val="04AA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209B"/>
    <w:multiLevelType w:val="hybridMultilevel"/>
    <w:tmpl w:val="C220C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5714"/>
    <w:multiLevelType w:val="hybridMultilevel"/>
    <w:tmpl w:val="D032B9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100696"/>
    <w:multiLevelType w:val="hybridMultilevel"/>
    <w:tmpl w:val="9F54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5800"/>
    <w:multiLevelType w:val="hybridMultilevel"/>
    <w:tmpl w:val="0A66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601F"/>
    <w:multiLevelType w:val="hybridMultilevel"/>
    <w:tmpl w:val="C4F6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CC7"/>
    <w:multiLevelType w:val="hybridMultilevel"/>
    <w:tmpl w:val="A9C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A0F"/>
    <w:multiLevelType w:val="hybridMultilevel"/>
    <w:tmpl w:val="D9D2CC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394106"/>
    <w:multiLevelType w:val="hybridMultilevel"/>
    <w:tmpl w:val="A7726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02B99"/>
    <w:multiLevelType w:val="hybridMultilevel"/>
    <w:tmpl w:val="46B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6238A"/>
    <w:multiLevelType w:val="hybridMultilevel"/>
    <w:tmpl w:val="19F8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3DEA"/>
    <w:multiLevelType w:val="hybridMultilevel"/>
    <w:tmpl w:val="0304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FF08C2"/>
    <w:multiLevelType w:val="hybridMultilevel"/>
    <w:tmpl w:val="3D6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099E"/>
    <w:multiLevelType w:val="hybridMultilevel"/>
    <w:tmpl w:val="C316C9DE"/>
    <w:lvl w:ilvl="0" w:tplc="E0DC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27520"/>
    <w:multiLevelType w:val="hybridMultilevel"/>
    <w:tmpl w:val="193EB0DE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23226"/>
    <w:multiLevelType w:val="hybridMultilevel"/>
    <w:tmpl w:val="12F476B4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83248"/>
    <w:multiLevelType w:val="hybridMultilevel"/>
    <w:tmpl w:val="B1941D2E"/>
    <w:lvl w:ilvl="0" w:tplc="BB5065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1A1"/>
    <w:multiLevelType w:val="hybridMultilevel"/>
    <w:tmpl w:val="C70EEA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9050133"/>
    <w:multiLevelType w:val="hybridMultilevel"/>
    <w:tmpl w:val="A55A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CD6F0C"/>
    <w:multiLevelType w:val="hybridMultilevel"/>
    <w:tmpl w:val="CF84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E7B40"/>
    <w:multiLevelType w:val="hybridMultilevel"/>
    <w:tmpl w:val="24B0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DDD4"/>
    <w:multiLevelType w:val="hybridMultilevel"/>
    <w:tmpl w:val="80FA73E0"/>
    <w:lvl w:ilvl="0" w:tplc="FFFFFFFF">
      <w:start w:val="1"/>
      <w:numFmt w:val="bullet"/>
      <w:lvlText w:val="•"/>
      <w:lvlJc w:val="left"/>
    </w:lvl>
    <w:lvl w:ilvl="1" w:tplc="6306756D">
      <w:start w:val="1"/>
      <w:numFmt w:val="bullet"/>
      <w:lvlText w:val="•"/>
      <w:lvlJc w:val="left"/>
    </w:lvl>
    <w:lvl w:ilvl="2" w:tplc="653198D8">
      <w:start w:val="1"/>
      <w:numFmt w:val="bullet"/>
      <w:lvlText w:val="•"/>
      <w:lvlJc w:val="left"/>
    </w:lvl>
    <w:lvl w:ilvl="3" w:tplc="6B3D5E30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C71684"/>
    <w:multiLevelType w:val="hybridMultilevel"/>
    <w:tmpl w:val="D8F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D341C"/>
    <w:multiLevelType w:val="hybridMultilevel"/>
    <w:tmpl w:val="89BC6D8A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1E4A"/>
    <w:multiLevelType w:val="hybridMultilevel"/>
    <w:tmpl w:val="6972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42F62"/>
    <w:multiLevelType w:val="hybridMultilevel"/>
    <w:tmpl w:val="19A8C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C4276B"/>
    <w:multiLevelType w:val="hybridMultilevel"/>
    <w:tmpl w:val="C45A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A3941"/>
    <w:multiLevelType w:val="hybridMultilevel"/>
    <w:tmpl w:val="58E2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65D"/>
    <w:multiLevelType w:val="hybridMultilevel"/>
    <w:tmpl w:val="44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F23AB"/>
    <w:multiLevelType w:val="hybridMultilevel"/>
    <w:tmpl w:val="CAF8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5B1"/>
    <w:multiLevelType w:val="hybridMultilevel"/>
    <w:tmpl w:val="3782E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231EBE"/>
    <w:multiLevelType w:val="hybridMultilevel"/>
    <w:tmpl w:val="1EBC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20328"/>
    <w:multiLevelType w:val="hybridMultilevel"/>
    <w:tmpl w:val="A7A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7A60"/>
    <w:multiLevelType w:val="hybridMultilevel"/>
    <w:tmpl w:val="321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32D68"/>
    <w:multiLevelType w:val="hybridMultilevel"/>
    <w:tmpl w:val="458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B5768"/>
    <w:multiLevelType w:val="hybridMultilevel"/>
    <w:tmpl w:val="DEB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F19D4"/>
    <w:multiLevelType w:val="hybridMultilevel"/>
    <w:tmpl w:val="92C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7D70E8"/>
    <w:multiLevelType w:val="hybridMultilevel"/>
    <w:tmpl w:val="AC6EA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20A02"/>
    <w:multiLevelType w:val="hybridMultilevel"/>
    <w:tmpl w:val="352E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0692">
    <w:abstractNumId w:val="22"/>
  </w:num>
  <w:num w:numId="2" w16cid:durableId="85853443">
    <w:abstractNumId w:val="24"/>
  </w:num>
  <w:num w:numId="3" w16cid:durableId="1518807566">
    <w:abstractNumId w:val="1"/>
  </w:num>
  <w:num w:numId="4" w16cid:durableId="1282805883">
    <w:abstractNumId w:val="36"/>
  </w:num>
  <w:num w:numId="5" w16cid:durableId="635600829">
    <w:abstractNumId w:val="31"/>
  </w:num>
  <w:num w:numId="6" w16cid:durableId="1662735729">
    <w:abstractNumId w:val="4"/>
  </w:num>
  <w:num w:numId="7" w16cid:durableId="1049453072">
    <w:abstractNumId w:val="12"/>
  </w:num>
  <w:num w:numId="8" w16cid:durableId="901139669">
    <w:abstractNumId w:val="33"/>
  </w:num>
  <w:num w:numId="9" w16cid:durableId="1197081908">
    <w:abstractNumId w:val="14"/>
  </w:num>
  <w:num w:numId="10" w16cid:durableId="1061639591">
    <w:abstractNumId w:val="34"/>
  </w:num>
  <w:num w:numId="11" w16cid:durableId="1119880260">
    <w:abstractNumId w:val="42"/>
  </w:num>
  <w:num w:numId="12" w16cid:durableId="764689151">
    <w:abstractNumId w:val="32"/>
  </w:num>
  <w:num w:numId="13" w16cid:durableId="1726106014">
    <w:abstractNumId w:val="17"/>
  </w:num>
  <w:num w:numId="14" w16cid:durableId="1461454683">
    <w:abstractNumId w:val="43"/>
  </w:num>
  <w:num w:numId="15" w16cid:durableId="872763565">
    <w:abstractNumId w:val="41"/>
  </w:num>
  <w:num w:numId="16" w16cid:durableId="1637369575">
    <w:abstractNumId w:val="27"/>
  </w:num>
  <w:num w:numId="17" w16cid:durableId="635765985">
    <w:abstractNumId w:val="0"/>
  </w:num>
  <w:num w:numId="18" w16cid:durableId="1700662702">
    <w:abstractNumId w:val="26"/>
  </w:num>
  <w:num w:numId="19" w16cid:durableId="1928927588">
    <w:abstractNumId w:val="5"/>
  </w:num>
  <w:num w:numId="20" w16cid:durableId="304048165">
    <w:abstractNumId w:val="2"/>
  </w:num>
  <w:num w:numId="21" w16cid:durableId="153255646">
    <w:abstractNumId w:val="15"/>
  </w:num>
  <w:num w:numId="22" w16cid:durableId="1472166164">
    <w:abstractNumId w:val="6"/>
  </w:num>
  <w:num w:numId="23" w16cid:durableId="2139637968">
    <w:abstractNumId w:val="11"/>
  </w:num>
  <w:num w:numId="24" w16cid:durableId="1042706252">
    <w:abstractNumId w:val="10"/>
  </w:num>
  <w:num w:numId="25" w16cid:durableId="642083106">
    <w:abstractNumId w:val="30"/>
  </w:num>
  <w:num w:numId="26" w16cid:durableId="1208685194">
    <w:abstractNumId w:val="16"/>
  </w:num>
  <w:num w:numId="27" w16cid:durableId="1536624488">
    <w:abstractNumId w:val="18"/>
  </w:num>
  <w:num w:numId="28" w16cid:durableId="151878010">
    <w:abstractNumId w:val="25"/>
  </w:num>
  <w:num w:numId="29" w16cid:durableId="488600695">
    <w:abstractNumId w:val="28"/>
  </w:num>
  <w:num w:numId="30" w16cid:durableId="404307343">
    <w:abstractNumId w:val="39"/>
  </w:num>
  <w:num w:numId="31" w16cid:durableId="236676907">
    <w:abstractNumId w:val="35"/>
  </w:num>
  <w:num w:numId="32" w16cid:durableId="1041368664">
    <w:abstractNumId w:val="39"/>
  </w:num>
  <w:num w:numId="33" w16cid:durableId="757992186">
    <w:abstractNumId w:val="44"/>
  </w:num>
  <w:num w:numId="34" w16cid:durableId="414673144">
    <w:abstractNumId w:val="40"/>
  </w:num>
  <w:num w:numId="35" w16cid:durableId="1236667934">
    <w:abstractNumId w:val="8"/>
  </w:num>
  <w:num w:numId="36" w16cid:durableId="348485481">
    <w:abstractNumId w:val="13"/>
  </w:num>
  <w:num w:numId="37" w16cid:durableId="133718852">
    <w:abstractNumId w:val="37"/>
  </w:num>
  <w:num w:numId="38" w16cid:durableId="1665621110">
    <w:abstractNumId w:val="38"/>
  </w:num>
  <w:num w:numId="39" w16cid:durableId="470753800">
    <w:abstractNumId w:val="29"/>
  </w:num>
  <w:num w:numId="40" w16cid:durableId="1589540336">
    <w:abstractNumId w:val="20"/>
  </w:num>
  <w:num w:numId="41" w16cid:durableId="1913200493">
    <w:abstractNumId w:val="7"/>
  </w:num>
  <w:num w:numId="42" w16cid:durableId="1798255539">
    <w:abstractNumId w:val="9"/>
  </w:num>
  <w:num w:numId="43" w16cid:durableId="1135222012">
    <w:abstractNumId w:val="19"/>
  </w:num>
  <w:num w:numId="44" w16cid:durableId="1216233510">
    <w:abstractNumId w:val="21"/>
  </w:num>
  <w:num w:numId="45" w16cid:durableId="1962766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0532993">
    <w:abstractNumId w:val="20"/>
  </w:num>
  <w:num w:numId="47" w16cid:durableId="1449591800">
    <w:abstractNumId w:val="19"/>
  </w:num>
  <w:num w:numId="48" w16cid:durableId="1880823260">
    <w:abstractNumId w:val="23"/>
  </w:num>
  <w:num w:numId="49" w16cid:durableId="29395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CD"/>
    <w:rsid w:val="00001010"/>
    <w:rsid w:val="00004551"/>
    <w:rsid w:val="00004D1F"/>
    <w:rsid w:val="00005952"/>
    <w:rsid w:val="00011EEE"/>
    <w:rsid w:val="000120D7"/>
    <w:rsid w:val="0001685F"/>
    <w:rsid w:val="000169A7"/>
    <w:rsid w:val="00024F0F"/>
    <w:rsid w:val="000304E8"/>
    <w:rsid w:val="000317FC"/>
    <w:rsid w:val="00032D7F"/>
    <w:rsid w:val="00035A09"/>
    <w:rsid w:val="00035C25"/>
    <w:rsid w:val="00035DF0"/>
    <w:rsid w:val="000365F1"/>
    <w:rsid w:val="000369C7"/>
    <w:rsid w:val="00040656"/>
    <w:rsid w:val="000420F8"/>
    <w:rsid w:val="00042FE7"/>
    <w:rsid w:val="000468A0"/>
    <w:rsid w:val="000468BD"/>
    <w:rsid w:val="00046C59"/>
    <w:rsid w:val="000474A4"/>
    <w:rsid w:val="00050F9C"/>
    <w:rsid w:val="000514FF"/>
    <w:rsid w:val="00052E32"/>
    <w:rsid w:val="00056140"/>
    <w:rsid w:val="00066B14"/>
    <w:rsid w:val="000670D4"/>
    <w:rsid w:val="0007576F"/>
    <w:rsid w:val="00076B0D"/>
    <w:rsid w:val="00082959"/>
    <w:rsid w:val="00085217"/>
    <w:rsid w:val="00085719"/>
    <w:rsid w:val="000924BC"/>
    <w:rsid w:val="000927E0"/>
    <w:rsid w:val="00092836"/>
    <w:rsid w:val="000937A5"/>
    <w:rsid w:val="000958C1"/>
    <w:rsid w:val="000A0DB8"/>
    <w:rsid w:val="000A136E"/>
    <w:rsid w:val="000A159C"/>
    <w:rsid w:val="000A1B23"/>
    <w:rsid w:val="000A5089"/>
    <w:rsid w:val="000A5E3F"/>
    <w:rsid w:val="000B32B5"/>
    <w:rsid w:val="000B66FA"/>
    <w:rsid w:val="000B717E"/>
    <w:rsid w:val="000C0615"/>
    <w:rsid w:val="000C1FD5"/>
    <w:rsid w:val="000C2236"/>
    <w:rsid w:val="000C22E2"/>
    <w:rsid w:val="000C2773"/>
    <w:rsid w:val="000C2C97"/>
    <w:rsid w:val="000C2F52"/>
    <w:rsid w:val="000C6D1A"/>
    <w:rsid w:val="000D3361"/>
    <w:rsid w:val="000E1024"/>
    <w:rsid w:val="000E182F"/>
    <w:rsid w:val="000E2FFF"/>
    <w:rsid w:val="000E3427"/>
    <w:rsid w:val="000E3DB6"/>
    <w:rsid w:val="000E44AA"/>
    <w:rsid w:val="000E63F4"/>
    <w:rsid w:val="000E723C"/>
    <w:rsid w:val="000E7380"/>
    <w:rsid w:val="000F0765"/>
    <w:rsid w:val="000F2D97"/>
    <w:rsid w:val="000F4635"/>
    <w:rsid w:val="000F4B12"/>
    <w:rsid w:val="000F5147"/>
    <w:rsid w:val="000F53F0"/>
    <w:rsid w:val="000F56E2"/>
    <w:rsid w:val="000F5AFD"/>
    <w:rsid w:val="000F74E8"/>
    <w:rsid w:val="000F7CBB"/>
    <w:rsid w:val="00102A53"/>
    <w:rsid w:val="0010314F"/>
    <w:rsid w:val="00104335"/>
    <w:rsid w:val="00105A7B"/>
    <w:rsid w:val="00107695"/>
    <w:rsid w:val="00114758"/>
    <w:rsid w:val="001170CA"/>
    <w:rsid w:val="001209E8"/>
    <w:rsid w:val="00121F85"/>
    <w:rsid w:val="00122954"/>
    <w:rsid w:val="001230D4"/>
    <w:rsid w:val="001266FE"/>
    <w:rsid w:val="001271BE"/>
    <w:rsid w:val="00127B60"/>
    <w:rsid w:val="00132152"/>
    <w:rsid w:val="00133356"/>
    <w:rsid w:val="001348E7"/>
    <w:rsid w:val="00135D78"/>
    <w:rsid w:val="00135D80"/>
    <w:rsid w:val="001360EE"/>
    <w:rsid w:val="0013626F"/>
    <w:rsid w:val="00137281"/>
    <w:rsid w:val="00137B80"/>
    <w:rsid w:val="00141EC9"/>
    <w:rsid w:val="001432A7"/>
    <w:rsid w:val="0015444A"/>
    <w:rsid w:val="001563E2"/>
    <w:rsid w:val="00162C11"/>
    <w:rsid w:val="00164E76"/>
    <w:rsid w:val="00165AEA"/>
    <w:rsid w:val="0017333B"/>
    <w:rsid w:val="00174B55"/>
    <w:rsid w:val="00175F1C"/>
    <w:rsid w:val="001777DD"/>
    <w:rsid w:val="00180635"/>
    <w:rsid w:val="0018391E"/>
    <w:rsid w:val="00187B76"/>
    <w:rsid w:val="00194133"/>
    <w:rsid w:val="00194294"/>
    <w:rsid w:val="001A052D"/>
    <w:rsid w:val="001A2838"/>
    <w:rsid w:val="001A3905"/>
    <w:rsid w:val="001A5217"/>
    <w:rsid w:val="001A5D4B"/>
    <w:rsid w:val="001A74E1"/>
    <w:rsid w:val="001B1718"/>
    <w:rsid w:val="001B35DE"/>
    <w:rsid w:val="001B7039"/>
    <w:rsid w:val="001C11C7"/>
    <w:rsid w:val="001C2E56"/>
    <w:rsid w:val="001C3CEE"/>
    <w:rsid w:val="001C4399"/>
    <w:rsid w:val="001C76BA"/>
    <w:rsid w:val="001C7A4F"/>
    <w:rsid w:val="001D0618"/>
    <w:rsid w:val="001D1B1D"/>
    <w:rsid w:val="001D26AE"/>
    <w:rsid w:val="001D2CE8"/>
    <w:rsid w:val="001D594A"/>
    <w:rsid w:val="001E0E61"/>
    <w:rsid w:val="001E700F"/>
    <w:rsid w:val="001E7F7B"/>
    <w:rsid w:val="001F07CA"/>
    <w:rsid w:val="001F15E9"/>
    <w:rsid w:val="001F1AF4"/>
    <w:rsid w:val="001F2B8F"/>
    <w:rsid w:val="001F301D"/>
    <w:rsid w:val="001F39AB"/>
    <w:rsid w:val="001F57D4"/>
    <w:rsid w:val="001F5D37"/>
    <w:rsid w:val="001F6356"/>
    <w:rsid w:val="001F637F"/>
    <w:rsid w:val="001F7414"/>
    <w:rsid w:val="001F7C60"/>
    <w:rsid w:val="00203725"/>
    <w:rsid w:val="002040CE"/>
    <w:rsid w:val="00204505"/>
    <w:rsid w:val="00206A2C"/>
    <w:rsid w:val="00207F68"/>
    <w:rsid w:val="00214372"/>
    <w:rsid w:val="00217DBD"/>
    <w:rsid w:val="002213BC"/>
    <w:rsid w:val="00221494"/>
    <w:rsid w:val="00221D78"/>
    <w:rsid w:val="00222499"/>
    <w:rsid w:val="0022249A"/>
    <w:rsid w:val="002238DF"/>
    <w:rsid w:val="00232FC6"/>
    <w:rsid w:val="002357F4"/>
    <w:rsid w:val="002379FA"/>
    <w:rsid w:val="00237B63"/>
    <w:rsid w:val="00237CB8"/>
    <w:rsid w:val="00240734"/>
    <w:rsid w:val="00241BAD"/>
    <w:rsid w:val="002435C0"/>
    <w:rsid w:val="00244383"/>
    <w:rsid w:val="00250B8B"/>
    <w:rsid w:val="00251224"/>
    <w:rsid w:val="00251AED"/>
    <w:rsid w:val="002553F4"/>
    <w:rsid w:val="00257E2B"/>
    <w:rsid w:val="00260391"/>
    <w:rsid w:val="0026453D"/>
    <w:rsid w:val="00264C4E"/>
    <w:rsid w:val="0026503B"/>
    <w:rsid w:val="002661AF"/>
    <w:rsid w:val="002673A4"/>
    <w:rsid w:val="002731DE"/>
    <w:rsid w:val="00273FA4"/>
    <w:rsid w:val="00276529"/>
    <w:rsid w:val="00276C1A"/>
    <w:rsid w:val="00276F06"/>
    <w:rsid w:val="002809DF"/>
    <w:rsid w:val="00281630"/>
    <w:rsid w:val="0028241A"/>
    <w:rsid w:val="00282804"/>
    <w:rsid w:val="00282FAC"/>
    <w:rsid w:val="00283185"/>
    <w:rsid w:val="00284F9F"/>
    <w:rsid w:val="002871EF"/>
    <w:rsid w:val="00287998"/>
    <w:rsid w:val="002931A6"/>
    <w:rsid w:val="002933AF"/>
    <w:rsid w:val="00293F2B"/>
    <w:rsid w:val="00294D74"/>
    <w:rsid w:val="00295F14"/>
    <w:rsid w:val="00296F03"/>
    <w:rsid w:val="00297939"/>
    <w:rsid w:val="002A1D04"/>
    <w:rsid w:val="002A2035"/>
    <w:rsid w:val="002A3AAF"/>
    <w:rsid w:val="002A46DD"/>
    <w:rsid w:val="002A485D"/>
    <w:rsid w:val="002A55EC"/>
    <w:rsid w:val="002A60E4"/>
    <w:rsid w:val="002A7635"/>
    <w:rsid w:val="002B0516"/>
    <w:rsid w:val="002B0840"/>
    <w:rsid w:val="002B0C10"/>
    <w:rsid w:val="002B33D7"/>
    <w:rsid w:val="002B5440"/>
    <w:rsid w:val="002B5F3D"/>
    <w:rsid w:val="002C169D"/>
    <w:rsid w:val="002C3D53"/>
    <w:rsid w:val="002C4A69"/>
    <w:rsid w:val="002C5A8B"/>
    <w:rsid w:val="002C6A0C"/>
    <w:rsid w:val="002C7B59"/>
    <w:rsid w:val="002D2CD8"/>
    <w:rsid w:val="002D36E1"/>
    <w:rsid w:val="002D4043"/>
    <w:rsid w:val="002D7838"/>
    <w:rsid w:val="002E0FBD"/>
    <w:rsid w:val="002E26FB"/>
    <w:rsid w:val="002E2BF4"/>
    <w:rsid w:val="002E39FF"/>
    <w:rsid w:val="002E4026"/>
    <w:rsid w:val="002E7455"/>
    <w:rsid w:val="002E76D9"/>
    <w:rsid w:val="002E7CF3"/>
    <w:rsid w:val="002F000E"/>
    <w:rsid w:val="002F1143"/>
    <w:rsid w:val="002F1574"/>
    <w:rsid w:val="002F25B6"/>
    <w:rsid w:val="002F49C8"/>
    <w:rsid w:val="002F51CE"/>
    <w:rsid w:val="003019BF"/>
    <w:rsid w:val="003049A0"/>
    <w:rsid w:val="00304BEA"/>
    <w:rsid w:val="003070D7"/>
    <w:rsid w:val="00314991"/>
    <w:rsid w:val="00317252"/>
    <w:rsid w:val="00321625"/>
    <w:rsid w:val="00325178"/>
    <w:rsid w:val="00327FA6"/>
    <w:rsid w:val="00334D19"/>
    <w:rsid w:val="00340E1F"/>
    <w:rsid w:val="00344E2F"/>
    <w:rsid w:val="00346979"/>
    <w:rsid w:val="003524CB"/>
    <w:rsid w:val="00352A10"/>
    <w:rsid w:val="00354F46"/>
    <w:rsid w:val="003559F3"/>
    <w:rsid w:val="0035734B"/>
    <w:rsid w:val="003603CB"/>
    <w:rsid w:val="00361386"/>
    <w:rsid w:val="00364BC8"/>
    <w:rsid w:val="003671E2"/>
    <w:rsid w:val="00372C5D"/>
    <w:rsid w:val="00372E84"/>
    <w:rsid w:val="00374124"/>
    <w:rsid w:val="00374799"/>
    <w:rsid w:val="00375AB2"/>
    <w:rsid w:val="00377E18"/>
    <w:rsid w:val="003808C4"/>
    <w:rsid w:val="003818EB"/>
    <w:rsid w:val="003826AB"/>
    <w:rsid w:val="003837E9"/>
    <w:rsid w:val="00386DC3"/>
    <w:rsid w:val="00390C64"/>
    <w:rsid w:val="00390F86"/>
    <w:rsid w:val="00391F36"/>
    <w:rsid w:val="003939B9"/>
    <w:rsid w:val="00393EAD"/>
    <w:rsid w:val="003A24F4"/>
    <w:rsid w:val="003A2816"/>
    <w:rsid w:val="003A2F7D"/>
    <w:rsid w:val="003A3775"/>
    <w:rsid w:val="003A4EB5"/>
    <w:rsid w:val="003A55F9"/>
    <w:rsid w:val="003B18A1"/>
    <w:rsid w:val="003B595A"/>
    <w:rsid w:val="003B650D"/>
    <w:rsid w:val="003C09B2"/>
    <w:rsid w:val="003C2D0E"/>
    <w:rsid w:val="003C2DA3"/>
    <w:rsid w:val="003C4791"/>
    <w:rsid w:val="003C6A84"/>
    <w:rsid w:val="003D041F"/>
    <w:rsid w:val="003D1D90"/>
    <w:rsid w:val="003D2C6F"/>
    <w:rsid w:val="003D4933"/>
    <w:rsid w:val="003D7AE9"/>
    <w:rsid w:val="003D7D13"/>
    <w:rsid w:val="003E1080"/>
    <w:rsid w:val="003E188A"/>
    <w:rsid w:val="003F10EF"/>
    <w:rsid w:val="003F2D14"/>
    <w:rsid w:val="003F3616"/>
    <w:rsid w:val="003F3F46"/>
    <w:rsid w:val="003F4EAC"/>
    <w:rsid w:val="003F52F6"/>
    <w:rsid w:val="003F557B"/>
    <w:rsid w:val="003F723B"/>
    <w:rsid w:val="003F74E5"/>
    <w:rsid w:val="00400B15"/>
    <w:rsid w:val="0040101A"/>
    <w:rsid w:val="00401308"/>
    <w:rsid w:val="004013B9"/>
    <w:rsid w:val="00403D38"/>
    <w:rsid w:val="00403F20"/>
    <w:rsid w:val="0040423E"/>
    <w:rsid w:val="0040566E"/>
    <w:rsid w:val="00407719"/>
    <w:rsid w:val="00410E2B"/>
    <w:rsid w:val="0041210E"/>
    <w:rsid w:val="004126E8"/>
    <w:rsid w:val="0041359A"/>
    <w:rsid w:val="00414431"/>
    <w:rsid w:val="004145F9"/>
    <w:rsid w:val="00414799"/>
    <w:rsid w:val="00416E81"/>
    <w:rsid w:val="00417CD9"/>
    <w:rsid w:val="004201CF"/>
    <w:rsid w:val="00422B8B"/>
    <w:rsid w:val="00424C46"/>
    <w:rsid w:val="004251CD"/>
    <w:rsid w:val="00425FE4"/>
    <w:rsid w:val="00426799"/>
    <w:rsid w:val="004275B2"/>
    <w:rsid w:val="0043025E"/>
    <w:rsid w:val="004309FB"/>
    <w:rsid w:val="0043114D"/>
    <w:rsid w:val="00431BC7"/>
    <w:rsid w:val="00433819"/>
    <w:rsid w:val="00445557"/>
    <w:rsid w:val="004469CB"/>
    <w:rsid w:val="004469FB"/>
    <w:rsid w:val="00450039"/>
    <w:rsid w:val="00450275"/>
    <w:rsid w:val="00457340"/>
    <w:rsid w:val="00461E75"/>
    <w:rsid w:val="004625B5"/>
    <w:rsid w:val="00462C49"/>
    <w:rsid w:val="00464588"/>
    <w:rsid w:val="00464802"/>
    <w:rsid w:val="00466E16"/>
    <w:rsid w:val="00471D1D"/>
    <w:rsid w:val="004729F2"/>
    <w:rsid w:val="00472DE9"/>
    <w:rsid w:val="00473239"/>
    <w:rsid w:val="004750AF"/>
    <w:rsid w:val="00475CF0"/>
    <w:rsid w:val="0047642C"/>
    <w:rsid w:val="00476E8C"/>
    <w:rsid w:val="004810B4"/>
    <w:rsid w:val="00481EB9"/>
    <w:rsid w:val="00482010"/>
    <w:rsid w:val="004832FA"/>
    <w:rsid w:val="00484658"/>
    <w:rsid w:val="00485C28"/>
    <w:rsid w:val="00485D4D"/>
    <w:rsid w:val="0048776D"/>
    <w:rsid w:val="0048786E"/>
    <w:rsid w:val="0049211E"/>
    <w:rsid w:val="0049504B"/>
    <w:rsid w:val="00497312"/>
    <w:rsid w:val="0049770E"/>
    <w:rsid w:val="00497B17"/>
    <w:rsid w:val="004A02BB"/>
    <w:rsid w:val="004A0F17"/>
    <w:rsid w:val="004A2FDC"/>
    <w:rsid w:val="004B06F5"/>
    <w:rsid w:val="004B3869"/>
    <w:rsid w:val="004B5D13"/>
    <w:rsid w:val="004B5D6C"/>
    <w:rsid w:val="004B63A6"/>
    <w:rsid w:val="004B7986"/>
    <w:rsid w:val="004C3C3C"/>
    <w:rsid w:val="004C3D82"/>
    <w:rsid w:val="004C46CD"/>
    <w:rsid w:val="004C69B3"/>
    <w:rsid w:val="004C6EE6"/>
    <w:rsid w:val="004D0368"/>
    <w:rsid w:val="004D2602"/>
    <w:rsid w:val="004D5D04"/>
    <w:rsid w:val="004E339D"/>
    <w:rsid w:val="004E7411"/>
    <w:rsid w:val="004E7585"/>
    <w:rsid w:val="004F0FB5"/>
    <w:rsid w:val="004F113B"/>
    <w:rsid w:val="004F265B"/>
    <w:rsid w:val="004F4315"/>
    <w:rsid w:val="004F5D04"/>
    <w:rsid w:val="004F6716"/>
    <w:rsid w:val="0050318B"/>
    <w:rsid w:val="0051375F"/>
    <w:rsid w:val="00513F6C"/>
    <w:rsid w:val="00515EAC"/>
    <w:rsid w:val="0051701E"/>
    <w:rsid w:val="00524B6F"/>
    <w:rsid w:val="00526729"/>
    <w:rsid w:val="00534AC4"/>
    <w:rsid w:val="0054561E"/>
    <w:rsid w:val="00545756"/>
    <w:rsid w:val="00546477"/>
    <w:rsid w:val="00550C97"/>
    <w:rsid w:val="00551315"/>
    <w:rsid w:val="00551429"/>
    <w:rsid w:val="005515F4"/>
    <w:rsid w:val="00551734"/>
    <w:rsid w:val="00554126"/>
    <w:rsid w:val="0055632D"/>
    <w:rsid w:val="00557B8C"/>
    <w:rsid w:val="00560215"/>
    <w:rsid w:val="00562A6A"/>
    <w:rsid w:val="00562C34"/>
    <w:rsid w:val="00562DD6"/>
    <w:rsid w:val="005645AE"/>
    <w:rsid w:val="00566BE8"/>
    <w:rsid w:val="0057055C"/>
    <w:rsid w:val="00574C48"/>
    <w:rsid w:val="00575815"/>
    <w:rsid w:val="005763F9"/>
    <w:rsid w:val="005777A7"/>
    <w:rsid w:val="00581252"/>
    <w:rsid w:val="00581C32"/>
    <w:rsid w:val="0058281A"/>
    <w:rsid w:val="00582E38"/>
    <w:rsid w:val="00584F92"/>
    <w:rsid w:val="005864C9"/>
    <w:rsid w:val="005867D3"/>
    <w:rsid w:val="00590C84"/>
    <w:rsid w:val="005917F0"/>
    <w:rsid w:val="005A01E2"/>
    <w:rsid w:val="005A1DA3"/>
    <w:rsid w:val="005A41ED"/>
    <w:rsid w:val="005B0942"/>
    <w:rsid w:val="005B35D1"/>
    <w:rsid w:val="005B4602"/>
    <w:rsid w:val="005B506B"/>
    <w:rsid w:val="005B612C"/>
    <w:rsid w:val="005B6791"/>
    <w:rsid w:val="005B737C"/>
    <w:rsid w:val="005C1D3F"/>
    <w:rsid w:val="005C3182"/>
    <w:rsid w:val="005C495D"/>
    <w:rsid w:val="005C4D8F"/>
    <w:rsid w:val="005C6DF4"/>
    <w:rsid w:val="005C7063"/>
    <w:rsid w:val="005D4576"/>
    <w:rsid w:val="005D5A4B"/>
    <w:rsid w:val="005D632B"/>
    <w:rsid w:val="005D6E60"/>
    <w:rsid w:val="005D7BB1"/>
    <w:rsid w:val="005E2C0D"/>
    <w:rsid w:val="005E429F"/>
    <w:rsid w:val="005E46CE"/>
    <w:rsid w:val="005E5127"/>
    <w:rsid w:val="005E6977"/>
    <w:rsid w:val="005F09AC"/>
    <w:rsid w:val="005F62D6"/>
    <w:rsid w:val="00600808"/>
    <w:rsid w:val="0060278D"/>
    <w:rsid w:val="006055D9"/>
    <w:rsid w:val="00613D15"/>
    <w:rsid w:val="0061444B"/>
    <w:rsid w:val="006167A5"/>
    <w:rsid w:val="006167C8"/>
    <w:rsid w:val="00617D03"/>
    <w:rsid w:val="0062429A"/>
    <w:rsid w:val="006353A7"/>
    <w:rsid w:val="006377CF"/>
    <w:rsid w:val="0064096D"/>
    <w:rsid w:val="00641238"/>
    <w:rsid w:val="0064154F"/>
    <w:rsid w:val="00642794"/>
    <w:rsid w:val="0064518D"/>
    <w:rsid w:val="0064587F"/>
    <w:rsid w:val="006459AF"/>
    <w:rsid w:val="0065075D"/>
    <w:rsid w:val="00652013"/>
    <w:rsid w:val="00654F99"/>
    <w:rsid w:val="0065644A"/>
    <w:rsid w:val="00656828"/>
    <w:rsid w:val="00656E38"/>
    <w:rsid w:val="00661509"/>
    <w:rsid w:val="00661559"/>
    <w:rsid w:val="00664BE6"/>
    <w:rsid w:val="00666A1A"/>
    <w:rsid w:val="00667E43"/>
    <w:rsid w:val="006701AB"/>
    <w:rsid w:val="00670702"/>
    <w:rsid w:val="0067137C"/>
    <w:rsid w:val="00672317"/>
    <w:rsid w:val="0067272F"/>
    <w:rsid w:val="00674DB1"/>
    <w:rsid w:val="00675AE9"/>
    <w:rsid w:val="006770B1"/>
    <w:rsid w:val="006830CF"/>
    <w:rsid w:val="0068485B"/>
    <w:rsid w:val="0068550E"/>
    <w:rsid w:val="006875DC"/>
    <w:rsid w:val="00687D64"/>
    <w:rsid w:val="00687EBB"/>
    <w:rsid w:val="0069245E"/>
    <w:rsid w:val="0069391F"/>
    <w:rsid w:val="00693C79"/>
    <w:rsid w:val="0069426C"/>
    <w:rsid w:val="00694285"/>
    <w:rsid w:val="00694DEE"/>
    <w:rsid w:val="006A394E"/>
    <w:rsid w:val="006A3C9C"/>
    <w:rsid w:val="006A4AC6"/>
    <w:rsid w:val="006A4D85"/>
    <w:rsid w:val="006A77E0"/>
    <w:rsid w:val="006B159D"/>
    <w:rsid w:val="006B2117"/>
    <w:rsid w:val="006B31C1"/>
    <w:rsid w:val="006B3F5F"/>
    <w:rsid w:val="006B40BC"/>
    <w:rsid w:val="006B59DD"/>
    <w:rsid w:val="006B5A46"/>
    <w:rsid w:val="006C01FA"/>
    <w:rsid w:val="006C4200"/>
    <w:rsid w:val="006C47E4"/>
    <w:rsid w:val="006C5820"/>
    <w:rsid w:val="006C5924"/>
    <w:rsid w:val="006C5E3D"/>
    <w:rsid w:val="006C642A"/>
    <w:rsid w:val="006D4F8F"/>
    <w:rsid w:val="006D6D72"/>
    <w:rsid w:val="006D78E6"/>
    <w:rsid w:val="006D796A"/>
    <w:rsid w:val="006E05B1"/>
    <w:rsid w:val="006E0B47"/>
    <w:rsid w:val="006E1A2C"/>
    <w:rsid w:val="006E20F4"/>
    <w:rsid w:val="006E27DD"/>
    <w:rsid w:val="006E3547"/>
    <w:rsid w:val="006E41B3"/>
    <w:rsid w:val="006E4871"/>
    <w:rsid w:val="006F2C1E"/>
    <w:rsid w:val="006F75B5"/>
    <w:rsid w:val="007040AE"/>
    <w:rsid w:val="00704A7D"/>
    <w:rsid w:val="007060DB"/>
    <w:rsid w:val="00711813"/>
    <w:rsid w:val="007129CB"/>
    <w:rsid w:val="00712E37"/>
    <w:rsid w:val="00712EFC"/>
    <w:rsid w:val="0071424D"/>
    <w:rsid w:val="00716F02"/>
    <w:rsid w:val="007215A0"/>
    <w:rsid w:val="0072538C"/>
    <w:rsid w:val="00725E17"/>
    <w:rsid w:val="007264D0"/>
    <w:rsid w:val="0072652F"/>
    <w:rsid w:val="00726E74"/>
    <w:rsid w:val="007306D3"/>
    <w:rsid w:val="0073122A"/>
    <w:rsid w:val="00731672"/>
    <w:rsid w:val="00731FAA"/>
    <w:rsid w:val="00732169"/>
    <w:rsid w:val="00732EDB"/>
    <w:rsid w:val="00733867"/>
    <w:rsid w:val="00735045"/>
    <w:rsid w:val="00737BEF"/>
    <w:rsid w:val="00747090"/>
    <w:rsid w:val="007503A2"/>
    <w:rsid w:val="00751BE5"/>
    <w:rsid w:val="007526F6"/>
    <w:rsid w:val="00754953"/>
    <w:rsid w:val="00757306"/>
    <w:rsid w:val="00757949"/>
    <w:rsid w:val="00762495"/>
    <w:rsid w:val="0076289E"/>
    <w:rsid w:val="00764FF1"/>
    <w:rsid w:val="00765AAF"/>
    <w:rsid w:val="00771A1C"/>
    <w:rsid w:val="00772887"/>
    <w:rsid w:val="00772A77"/>
    <w:rsid w:val="00776216"/>
    <w:rsid w:val="00780F1A"/>
    <w:rsid w:val="007831F7"/>
    <w:rsid w:val="00783A27"/>
    <w:rsid w:val="0078789C"/>
    <w:rsid w:val="0079116A"/>
    <w:rsid w:val="00793C73"/>
    <w:rsid w:val="007945B9"/>
    <w:rsid w:val="0079644A"/>
    <w:rsid w:val="00797702"/>
    <w:rsid w:val="007A28F8"/>
    <w:rsid w:val="007A69D4"/>
    <w:rsid w:val="007A6F11"/>
    <w:rsid w:val="007A7708"/>
    <w:rsid w:val="007A7794"/>
    <w:rsid w:val="007B01F1"/>
    <w:rsid w:val="007B04BD"/>
    <w:rsid w:val="007B0913"/>
    <w:rsid w:val="007B1B27"/>
    <w:rsid w:val="007B2F19"/>
    <w:rsid w:val="007B392D"/>
    <w:rsid w:val="007B4FAF"/>
    <w:rsid w:val="007B58CC"/>
    <w:rsid w:val="007B6BCF"/>
    <w:rsid w:val="007C048E"/>
    <w:rsid w:val="007C15D5"/>
    <w:rsid w:val="007C2B37"/>
    <w:rsid w:val="007C38DF"/>
    <w:rsid w:val="007C7DF8"/>
    <w:rsid w:val="007D0435"/>
    <w:rsid w:val="007D34FC"/>
    <w:rsid w:val="007D4720"/>
    <w:rsid w:val="007D757C"/>
    <w:rsid w:val="007E0042"/>
    <w:rsid w:val="007E02B9"/>
    <w:rsid w:val="007E070E"/>
    <w:rsid w:val="007E5AFD"/>
    <w:rsid w:val="007F01DB"/>
    <w:rsid w:val="007F08E9"/>
    <w:rsid w:val="007F1119"/>
    <w:rsid w:val="007F2669"/>
    <w:rsid w:val="007F425D"/>
    <w:rsid w:val="007F5E3E"/>
    <w:rsid w:val="007F5EEF"/>
    <w:rsid w:val="007F6B3D"/>
    <w:rsid w:val="008003CE"/>
    <w:rsid w:val="00801B69"/>
    <w:rsid w:val="0080269D"/>
    <w:rsid w:val="00803D8F"/>
    <w:rsid w:val="00803FBF"/>
    <w:rsid w:val="00807684"/>
    <w:rsid w:val="008105B5"/>
    <w:rsid w:val="00810FE9"/>
    <w:rsid w:val="008125B6"/>
    <w:rsid w:val="0081337D"/>
    <w:rsid w:val="0081360C"/>
    <w:rsid w:val="00813DC4"/>
    <w:rsid w:val="00814FE3"/>
    <w:rsid w:val="00816A07"/>
    <w:rsid w:val="00816DB7"/>
    <w:rsid w:val="00821687"/>
    <w:rsid w:val="00821CBA"/>
    <w:rsid w:val="00821F13"/>
    <w:rsid w:val="00826829"/>
    <w:rsid w:val="00830CAC"/>
    <w:rsid w:val="00833534"/>
    <w:rsid w:val="008361B5"/>
    <w:rsid w:val="00836DBA"/>
    <w:rsid w:val="008375AF"/>
    <w:rsid w:val="00837835"/>
    <w:rsid w:val="00840D09"/>
    <w:rsid w:val="008422CA"/>
    <w:rsid w:val="00842765"/>
    <w:rsid w:val="00847D00"/>
    <w:rsid w:val="00847DD1"/>
    <w:rsid w:val="00847EF1"/>
    <w:rsid w:val="00851956"/>
    <w:rsid w:val="00852FDF"/>
    <w:rsid w:val="0085626F"/>
    <w:rsid w:val="00861FA2"/>
    <w:rsid w:val="00871A2D"/>
    <w:rsid w:val="0087345E"/>
    <w:rsid w:val="00874409"/>
    <w:rsid w:val="0088064E"/>
    <w:rsid w:val="00881C5A"/>
    <w:rsid w:val="00881EB0"/>
    <w:rsid w:val="00890769"/>
    <w:rsid w:val="00891BBD"/>
    <w:rsid w:val="0089281A"/>
    <w:rsid w:val="00892983"/>
    <w:rsid w:val="0089313A"/>
    <w:rsid w:val="00894DA7"/>
    <w:rsid w:val="008A0471"/>
    <w:rsid w:val="008A434C"/>
    <w:rsid w:val="008A4B9D"/>
    <w:rsid w:val="008B3260"/>
    <w:rsid w:val="008B42A0"/>
    <w:rsid w:val="008B7576"/>
    <w:rsid w:val="008B7C85"/>
    <w:rsid w:val="008C6F3C"/>
    <w:rsid w:val="008C7A13"/>
    <w:rsid w:val="008D365F"/>
    <w:rsid w:val="008D4D87"/>
    <w:rsid w:val="008E27EC"/>
    <w:rsid w:val="008E3AF9"/>
    <w:rsid w:val="008E4275"/>
    <w:rsid w:val="008E4755"/>
    <w:rsid w:val="008E59A5"/>
    <w:rsid w:val="008E5F5F"/>
    <w:rsid w:val="008E6EFE"/>
    <w:rsid w:val="008E71C1"/>
    <w:rsid w:val="008F271E"/>
    <w:rsid w:val="008F39F7"/>
    <w:rsid w:val="008F61D0"/>
    <w:rsid w:val="008F6D4E"/>
    <w:rsid w:val="009009C8"/>
    <w:rsid w:val="00901C06"/>
    <w:rsid w:val="00902EEA"/>
    <w:rsid w:val="00903B1A"/>
    <w:rsid w:val="00903FCD"/>
    <w:rsid w:val="00907402"/>
    <w:rsid w:val="0091267F"/>
    <w:rsid w:val="00917B21"/>
    <w:rsid w:val="0092522F"/>
    <w:rsid w:val="00926A70"/>
    <w:rsid w:val="00926BF7"/>
    <w:rsid w:val="00930FC7"/>
    <w:rsid w:val="0093403D"/>
    <w:rsid w:val="00934D6E"/>
    <w:rsid w:val="0094131B"/>
    <w:rsid w:val="00947E74"/>
    <w:rsid w:val="00950302"/>
    <w:rsid w:val="00952093"/>
    <w:rsid w:val="00955412"/>
    <w:rsid w:val="009619C9"/>
    <w:rsid w:val="009624C8"/>
    <w:rsid w:val="00962E49"/>
    <w:rsid w:val="00964869"/>
    <w:rsid w:val="00964F3B"/>
    <w:rsid w:val="009651C7"/>
    <w:rsid w:val="0097273C"/>
    <w:rsid w:val="009728E9"/>
    <w:rsid w:val="00975E5D"/>
    <w:rsid w:val="0098173B"/>
    <w:rsid w:val="00985F61"/>
    <w:rsid w:val="009900BF"/>
    <w:rsid w:val="0099066D"/>
    <w:rsid w:val="00991064"/>
    <w:rsid w:val="009912D8"/>
    <w:rsid w:val="00992D66"/>
    <w:rsid w:val="00993848"/>
    <w:rsid w:val="009943E5"/>
    <w:rsid w:val="00996347"/>
    <w:rsid w:val="0099682E"/>
    <w:rsid w:val="00997E38"/>
    <w:rsid w:val="00997EC8"/>
    <w:rsid w:val="009A0BC0"/>
    <w:rsid w:val="009A4068"/>
    <w:rsid w:val="009A50A1"/>
    <w:rsid w:val="009A649C"/>
    <w:rsid w:val="009A6C2B"/>
    <w:rsid w:val="009B211B"/>
    <w:rsid w:val="009B49D0"/>
    <w:rsid w:val="009B4F13"/>
    <w:rsid w:val="009C664B"/>
    <w:rsid w:val="009D0508"/>
    <w:rsid w:val="009D0509"/>
    <w:rsid w:val="009D250A"/>
    <w:rsid w:val="009D5E23"/>
    <w:rsid w:val="009E074C"/>
    <w:rsid w:val="009E3158"/>
    <w:rsid w:val="009E34E8"/>
    <w:rsid w:val="009E7D28"/>
    <w:rsid w:val="009F1909"/>
    <w:rsid w:val="009F3298"/>
    <w:rsid w:val="009F531B"/>
    <w:rsid w:val="00A0610F"/>
    <w:rsid w:val="00A0613B"/>
    <w:rsid w:val="00A06E0F"/>
    <w:rsid w:val="00A13188"/>
    <w:rsid w:val="00A16897"/>
    <w:rsid w:val="00A2082F"/>
    <w:rsid w:val="00A24458"/>
    <w:rsid w:val="00A2505A"/>
    <w:rsid w:val="00A31113"/>
    <w:rsid w:val="00A316B4"/>
    <w:rsid w:val="00A322B6"/>
    <w:rsid w:val="00A32CE8"/>
    <w:rsid w:val="00A34B3C"/>
    <w:rsid w:val="00A41856"/>
    <w:rsid w:val="00A47611"/>
    <w:rsid w:val="00A47A9A"/>
    <w:rsid w:val="00A5002C"/>
    <w:rsid w:val="00A502A9"/>
    <w:rsid w:val="00A52731"/>
    <w:rsid w:val="00A5320A"/>
    <w:rsid w:val="00A535D1"/>
    <w:rsid w:val="00A541F6"/>
    <w:rsid w:val="00A57D08"/>
    <w:rsid w:val="00A60623"/>
    <w:rsid w:val="00A634CF"/>
    <w:rsid w:val="00A63C9A"/>
    <w:rsid w:val="00A64DA5"/>
    <w:rsid w:val="00A65129"/>
    <w:rsid w:val="00A7207D"/>
    <w:rsid w:val="00A7480C"/>
    <w:rsid w:val="00A75752"/>
    <w:rsid w:val="00A77FD1"/>
    <w:rsid w:val="00A80AC2"/>
    <w:rsid w:val="00A80F88"/>
    <w:rsid w:val="00A84B74"/>
    <w:rsid w:val="00A84C9E"/>
    <w:rsid w:val="00A937E4"/>
    <w:rsid w:val="00A94BBB"/>
    <w:rsid w:val="00A94D92"/>
    <w:rsid w:val="00A97FD8"/>
    <w:rsid w:val="00AA0513"/>
    <w:rsid w:val="00AA078B"/>
    <w:rsid w:val="00AA12F6"/>
    <w:rsid w:val="00AA2831"/>
    <w:rsid w:val="00AA6B90"/>
    <w:rsid w:val="00AB0A79"/>
    <w:rsid w:val="00AB44AB"/>
    <w:rsid w:val="00AB7B9F"/>
    <w:rsid w:val="00AC47DC"/>
    <w:rsid w:val="00AC5762"/>
    <w:rsid w:val="00AD0A82"/>
    <w:rsid w:val="00AD0F60"/>
    <w:rsid w:val="00AD22C5"/>
    <w:rsid w:val="00AD33CB"/>
    <w:rsid w:val="00AD3B91"/>
    <w:rsid w:val="00AD481D"/>
    <w:rsid w:val="00AD57E3"/>
    <w:rsid w:val="00AD5FD8"/>
    <w:rsid w:val="00AD7931"/>
    <w:rsid w:val="00AD7A8A"/>
    <w:rsid w:val="00AE2EC8"/>
    <w:rsid w:val="00AE3771"/>
    <w:rsid w:val="00AE5086"/>
    <w:rsid w:val="00AE613A"/>
    <w:rsid w:val="00AF10B3"/>
    <w:rsid w:val="00AF2346"/>
    <w:rsid w:val="00AF2F2C"/>
    <w:rsid w:val="00AF32BE"/>
    <w:rsid w:val="00AF487B"/>
    <w:rsid w:val="00AF5D6E"/>
    <w:rsid w:val="00AF753B"/>
    <w:rsid w:val="00B01525"/>
    <w:rsid w:val="00B02CBF"/>
    <w:rsid w:val="00B03D1C"/>
    <w:rsid w:val="00B04CFD"/>
    <w:rsid w:val="00B05049"/>
    <w:rsid w:val="00B060A2"/>
    <w:rsid w:val="00B064D1"/>
    <w:rsid w:val="00B072B7"/>
    <w:rsid w:val="00B0782F"/>
    <w:rsid w:val="00B13795"/>
    <w:rsid w:val="00B14FE6"/>
    <w:rsid w:val="00B158F1"/>
    <w:rsid w:val="00B15A52"/>
    <w:rsid w:val="00B2398F"/>
    <w:rsid w:val="00B24E02"/>
    <w:rsid w:val="00B2544F"/>
    <w:rsid w:val="00B25914"/>
    <w:rsid w:val="00B26E20"/>
    <w:rsid w:val="00B27C01"/>
    <w:rsid w:val="00B27D74"/>
    <w:rsid w:val="00B30DF4"/>
    <w:rsid w:val="00B329CF"/>
    <w:rsid w:val="00B36307"/>
    <w:rsid w:val="00B37A84"/>
    <w:rsid w:val="00B40A09"/>
    <w:rsid w:val="00B42088"/>
    <w:rsid w:val="00B428D7"/>
    <w:rsid w:val="00B471DC"/>
    <w:rsid w:val="00B537A0"/>
    <w:rsid w:val="00B54834"/>
    <w:rsid w:val="00B55777"/>
    <w:rsid w:val="00B560AE"/>
    <w:rsid w:val="00B56D8F"/>
    <w:rsid w:val="00B62F8C"/>
    <w:rsid w:val="00B63880"/>
    <w:rsid w:val="00B63989"/>
    <w:rsid w:val="00B7066E"/>
    <w:rsid w:val="00B70993"/>
    <w:rsid w:val="00B742D5"/>
    <w:rsid w:val="00B75662"/>
    <w:rsid w:val="00B76AE8"/>
    <w:rsid w:val="00B81F10"/>
    <w:rsid w:val="00B82268"/>
    <w:rsid w:val="00B84C21"/>
    <w:rsid w:val="00B855A3"/>
    <w:rsid w:val="00B85AA0"/>
    <w:rsid w:val="00B90633"/>
    <w:rsid w:val="00B93C5A"/>
    <w:rsid w:val="00B9402D"/>
    <w:rsid w:val="00B95DC7"/>
    <w:rsid w:val="00B96BBB"/>
    <w:rsid w:val="00B97802"/>
    <w:rsid w:val="00BA11AE"/>
    <w:rsid w:val="00BA1967"/>
    <w:rsid w:val="00BA2B9E"/>
    <w:rsid w:val="00BA2DED"/>
    <w:rsid w:val="00BA3189"/>
    <w:rsid w:val="00BA3442"/>
    <w:rsid w:val="00BA3BCC"/>
    <w:rsid w:val="00BA566A"/>
    <w:rsid w:val="00BA5C3B"/>
    <w:rsid w:val="00BA64F3"/>
    <w:rsid w:val="00BA6D08"/>
    <w:rsid w:val="00BB0CB2"/>
    <w:rsid w:val="00BB4990"/>
    <w:rsid w:val="00BB7CF8"/>
    <w:rsid w:val="00BC0EDC"/>
    <w:rsid w:val="00BC2246"/>
    <w:rsid w:val="00BC308D"/>
    <w:rsid w:val="00BC4D38"/>
    <w:rsid w:val="00BC59C9"/>
    <w:rsid w:val="00BC5C7D"/>
    <w:rsid w:val="00BC629F"/>
    <w:rsid w:val="00BC7317"/>
    <w:rsid w:val="00BD0FB0"/>
    <w:rsid w:val="00BD1750"/>
    <w:rsid w:val="00BD2D74"/>
    <w:rsid w:val="00BD2D7F"/>
    <w:rsid w:val="00BD2DB0"/>
    <w:rsid w:val="00BD3113"/>
    <w:rsid w:val="00BD49D6"/>
    <w:rsid w:val="00BD54AD"/>
    <w:rsid w:val="00BD59F5"/>
    <w:rsid w:val="00BD67C2"/>
    <w:rsid w:val="00BD71A2"/>
    <w:rsid w:val="00BE5CEC"/>
    <w:rsid w:val="00BE66A5"/>
    <w:rsid w:val="00BF2813"/>
    <w:rsid w:val="00BF4E60"/>
    <w:rsid w:val="00BF6E90"/>
    <w:rsid w:val="00BF72B3"/>
    <w:rsid w:val="00C0078D"/>
    <w:rsid w:val="00C04288"/>
    <w:rsid w:val="00C06530"/>
    <w:rsid w:val="00C066CA"/>
    <w:rsid w:val="00C154A0"/>
    <w:rsid w:val="00C16734"/>
    <w:rsid w:val="00C20FCF"/>
    <w:rsid w:val="00C23BA8"/>
    <w:rsid w:val="00C2655E"/>
    <w:rsid w:val="00C27C42"/>
    <w:rsid w:val="00C30AE5"/>
    <w:rsid w:val="00C323F8"/>
    <w:rsid w:val="00C37597"/>
    <w:rsid w:val="00C41394"/>
    <w:rsid w:val="00C4293F"/>
    <w:rsid w:val="00C429A8"/>
    <w:rsid w:val="00C43377"/>
    <w:rsid w:val="00C433E0"/>
    <w:rsid w:val="00C43868"/>
    <w:rsid w:val="00C45200"/>
    <w:rsid w:val="00C46D69"/>
    <w:rsid w:val="00C504FD"/>
    <w:rsid w:val="00C51574"/>
    <w:rsid w:val="00C51AEC"/>
    <w:rsid w:val="00C524B8"/>
    <w:rsid w:val="00C52DAD"/>
    <w:rsid w:val="00C5386B"/>
    <w:rsid w:val="00C54E2B"/>
    <w:rsid w:val="00C5527D"/>
    <w:rsid w:val="00C6217F"/>
    <w:rsid w:val="00C62D60"/>
    <w:rsid w:val="00C63A90"/>
    <w:rsid w:val="00C63FFA"/>
    <w:rsid w:val="00C711A3"/>
    <w:rsid w:val="00C7672D"/>
    <w:rsid w:val="00C77D84"/>
    <w:rsid w:val="00C801A8"/>
    <w:rsid w:val="00C8122B"/>
    <w:rsid w:val="00C81BDF"/>
    <w:rsid w:val="00C90BC4"/>
    <w:rsid w:val="00C931E1"/>
    <w:rsid w:val="00C938F9"/>
    <w:rsid w:val="00C93B7F"/>
    <w:rsid w:val="00C94B05"/>
    <w:rsid w:val="00CA248E"/>
    <w:rsid w:val="00CA4F08"/>
    <w:rsid w:val="00CA5064"/>
    <w:rsid w:val="00CA5B69"/>
    <w:rsid w:val="00CA5CF1"/>
    <w:rsid w:val="00CB4E8B"/>
    <w:rsid w:val="00CB589D"/>
    <w:rsid w:val="00CB5B27"/>
    <w:rsid w:val="00CB68D2"/>
    <w:rsid w:val="00CC35DB"/>
    <w:rsid w:val="00CD1A9F"/>
    <w:rsid w:val="00CD1E5D"/>
    <w:rsid w:val="00CD2B0D"/>
    <w:rsid w:val="00CD3604"/>
    <w:rsid w:val="00CD378F"/>
    <w:rsid w:val="00CD698B"/>
    <w:rsid w:val="00CD6A3E"/>
    <w:rsid w:val="00CE1553"/>
    <w:rsid w:val="00CE23B5"/>
    <w:rsid w:val="00CE293D"/>
    <w:rsid w:val="00CE3838"/>
    <w:rsid w:val="00CE5DBC"/>
    <w:rsid w:val="00CE672A"/>
    <w:rsid w:val="00CE71EA"/>
    <w:rsid w:val="00CF0591"/>
    <w:rsid w:val="00CF1F56"/>
    <w:rsid w:val="00CF5B61"/>
    <w:rsid w:val="00CF5B90"/>
    <w:rsid w:val="00CF72F8"/>
    <w:rsid w:val="00D01DE0"/>
    <w:rsid w:val="00D02387"/>
    <w:rsid w:val="00D026E1"/>
    <w:rsid w:val="00D02850"/>
    <w:rsid w:val="00D04EAA"/>
    <w:rsid w:val="00D1021F"/>
    <w:rsid w:val="00D15AB8"/>
    <w:rsid w:val="00D15B22"/>
    <w:rsid w:val="00D162D1"/>
    <w:rsid w:val="00D215C9"/>
    <w:rsid w:val="00D24338"/>
    <w:rsid w:val="00D27477"/>
    <w:rsid w:val="00D27710"/>
    <w:rsid w:val="00D27824"/>
    <w:rsid w:val="00D310C7"/>
    <w:rsid w:val="00D32968"/>
    <w:rsid w:val="00D339B9"/>
    <w:rsid w:val="00D35631"/>
    <w:rsid w:val="00D367E9"/>
    <w:rsid w:val="00D377EB"/>
    <w:rsid w:val="00D4016B"/>
    <w:rsid w:val="00D41D59"/>
    <w:rsid w:val="00D4257C"/>
    <w:rsid w:val="00D451AE"/>
    <w:rsid w:val="00D520E1"/>
    <w:rsid w:val="00D542D9"/>
    <w:rsid w:val="00D5595E"/>
    <w:rsid w:val="00D56763"/>
    <w:rsid w:val="00D60678"/>
    <w:rsid w:val="00D612EA"/>
    <w:rsid w:val="00D61901"/>
    <w:rsid w:val="00D62B5C"/>
    <w:rsid w:val="00D62F07"/>
    <w:rsid w:val="00D66932"/>
    <w:rsid w:val="00D66B08"/>
    <w:rsid w:val="00D673A4"/>
    <w:rsid w:val="00D67D07"/>
    <w:rsid w:val="00D705FD"/>
    <w:rsid w:val="00D70CB8"/>
    <w:rsid w:val="00D73542"/>
    <w:rsid w:val="00D74992"/>
    <w:rsid w:val="00D74EC6"/>
    <w:rsid w:val="00D76774"/>
    <w:rsid w:val="00D80681"/>
    <w:rsid w:val="00D825CA"/>
    <w:rsid w:val="00D841D8"/>
    <w:rsid w:val="00D878A0"/>
    <w:rsid w:val="00D9177E"/>
    <w:rsid w:val="00D9313F"/>
    <w:rsid w:val="00D945C1"/>
    <w:rsid w:val="00D9664D"/>
    <w:rsid w:val="00D967B2"/>
    <w:rsid w:val="00D96D41"/>
    <w:rsid w:val="00D97B31"/>
    <w:rsid w:val="00DA3EE6"/>
    <w:rsid w:val="00DA425D"/>
    <w:rsid w:val="00DA47D5"/>
    <w:rsid w:val="00DA4B42"/>
    <w:rsid w:val="00DA4BE5"/>
    <w:rsid w:val="00DB0C90"/>
    <w:rsid w:val="00DB5B73"/>
    <w:rsid w:val="00DB5D58"/>
    <w:rsid w:val="00DB7B39"/>
    <w:rsid w:val="00DC3259"/>
    <w:rsid w:val="00DC6382"/>
    <w:rsid w:val="00DC63F9"/>
    <w:rsid w:val="00DD19F6"/>
    <w:rsid w:val="00DD6003"/>
    <w:rsid w:val="00DE2736"/>
    <w:rsid w:val="00DE2CC5"/>
    <w:rsid w:val="00DE3BCB"/>
    <w:rsid w:val="00DE5266"/>
    <w:rsid w:val="00DE538F"/>
    <w:rsid w:val="00DE72C8"/>
    <w:rsid w:val="00DF00AC"/>
    <w:rsid w:val="00DF1B9B"/>
    <w:rsid w:val="00DF2E02"/>
    <w:rsid w:val="00DF49AB"/>
    <w:rsid w:val="00DF5804"/>
    <w:rsid w:val="00DF7667"/>
    <w:rsid w:val="00E00AAD"/>
    <w:rsid w:val="00E02C4B"/>
    <w:rsid w:val="00E12203"/>
    <w:rsid w:val="00E12E5F"/>
    <w:rsid w:val="00E14AB1"/>
    <w:rsid w:val="00E20B2E"/>
    <w:rsid w:val="00E2362C"/>
    <w:rsid w:val="00E2717A"/>
    <w:rsid w:val="00E30020"/>
    <w:rsid w:val="00E321F7"/>
    <w:rsid w:val="00E355D9"/>
    <w:rsid w:val="00E35BC5"/>
    <w:rsid w:val="00E36B89"/>
    <w:rsid w:val="00E37707"/>
    <w:rsid w:val="00E37D62"/>
    <w:rsid w:val="00E40568"/>
    <w:rsid w:val="00E447BD"/>
    <w:rsid w:val="00E456C7"/>
    <w:rsid w:val="00E46DAB"/>
    <w:rsid w:val="00E500F7"/>
    <w:rsid w:val="00E504F3"/>
    <w:rsid w:val="00E5072E"/>
    <w:rsid w:val="00E51941"/>
    <w:rsid w:val="00E52B1F"/>
    <w:rsid w:val="00E549BB"/>
    <w:rsid w:val="00E5620F"/>
    <w:rsid w:val="00E575B8"/>
    <w:rsid w:val="00E62C7E"/>
    <w:rsid w:val="00E64308"/>
    <w:rsid w:val="00E64867"/>
    <w:rsid w:val="00E650F1"/>
    <w:rsid w:val="00E700D7"/>
    <w:rsid w:val="00E70A2E"/>
    <w:rsid w:val="00E714C1"/>
    <w:rsid w:val="00E7177A"/>
    <w:rsid w:val="00E723D7"/>
    <w:rsid w:val="00E8184F"/>
    <w:rsid w:val="00E92EB7"/>
    <w:rsid w:val="00E95B3C"/>
    <w:rsid w:val="00E97249"/>
    <w:rsid w:val="00E977ED"/>
    <w:rsid w:val="00EA08EC"/>
    <w:rsid w:val="00EA243A"/>
    <w:rsid w:val="00EA381C"/>
    <w:rsid w:val="00EA6FFA"/>
    <w:rsid w:val="00EC0EC0"/>
    <w:rsid w:val="00EC5076"/>
    <w:rsid w:val="00EC510A"/>
    <w:rsid w:val="00ED01DC"/>
    <w:rsid w:val="00ED03CD"/>
    <w:rsid w:val="00ED053C"/>
    <w:rsid w:val="00ED4068"/>
    <w:rsid w:val="00ED5D4A"/>
    <w:rsid w:val="00ED5D68"/>
    <w:rsid w:val="00ED6916"/>
    <w:rsid w:val="00ED6ADB"/>
    <w:rsid w:val="00EE0E21"/>
    <w:rsid w:val="00EE1180"/>
    <w:rsid w:val="00EE2DB3"/>
    <w:rsid w:val="00EE61BB"/>
    <w:rsid w:val="00EE67B8"/>
    <w:rsid w:val="00EF608B"/>
    <w:rsid w:val="00EF7706"/>
    <w:rsid w:val="00F00CB8"/>
    <w:rsid w:val="00F055BD"/>
    <w:rsid w:val="00F11865"/>
    <w:rsid w:val="00F123AC"/>
    <w:rsid w:val="00F1492F"/>
    <w:rsid w:val="00F15DE4"/>
    <w:rsid w:val="00F2054C"/>
    <w:rsid w:val="00F228F5"/>
    <w:rsid w:val="00F25874"/>
    <w:rsid w:val="00F32C81"/>
    <w:rsid w:val="00F34DE9"/>
    <w:rsid w:val="00F3580C"/>
    <w:rsid w:val="00F36869"/>
    <w:rsid w:val="00F404A1"/>
    <w:rsid w:val="00F4613E"/>
    <w:rsid w:val="00F51F26"/>
    <w:rsid w:val="00F5567F"/>
    <w:rsid w:val="00F557A5"/>
    <w:rsid w:val="00F605BB"/>
    <w:rsid w:val="00F60CFC"/>
    <w:rsid w:val="00F6259A"/>
    <w:rsid w:val="00F6497B"/>
    <w:rsid w:val="00F64B5A"/>
    <w:rsid w:val="00F731F2"/>
    <w:rsid w:val="00F75C89"/>
    <w:rsid w:val="00F77D67"/>
    <w:rsid w:val="00F803F1"/>
    <w:rsid w:val="00F80AA6"/>
    <w:rsid w:val="00F80B4C"/>
    <w:rsid w:val="00F81844"/>
    <w:rsid w:val="00F81B37"/>
    <w:rsid w:val="00F907E5"/>
    <w:rsid w:val="00F933AD"/>
    <w:rsid w:val="00F962A5"/>
    <w:rsid w:val="00FA04C9"/>
    <w:rsid w:val="00FA28CD"/>
    <w:rsid w:val="00FA2CA9"/>
    <w:rsid w:val="00FA548D"/>
    <w:rsid w:val="00FA6B6A"/>
    <w:rsid w:val="00FA7858"/>
    <w:rsid w:val="00FA79D6"/>
    <w:rsid w:val="00FA7E98"/>
    <w:rsid w:val="00FB07D9"/>
    <w:rsid w:val="00FB19FA"/>
    <w:rsid w:val="00FB3AA5"/>
    <w:rsid w:val="00FB50F5"/>
    <w:rsid w:val="00FB7941"/>
    <w:rsid w:val="00FC2E9B"/>
    <w:rsid w:val="00FC4269"/>
    <w:rsid w:val="00FC5ACA"/>
    <w:rsid w:val="00FC649F"/>
    <w:rsid w:val="00FC7895"/>
    <w:rsid w:val="00FC7ABF"/>
    <w:rsid w:val="00FD12A8"/>
    <w:rsid w:val="00FD1808"/>
    <w:rsid w:val="00FD21E7"/>
    <w:rsid w:val="00FD2F8D"/>
    <w:rsid w:val="00FD34D8"/>
    <w:rsid w:val="00FD46C0"/>
    <w:rsid w:val="00FD4CF2"/>
    <w:rsid w:val="00FD5422"/>
    <w:rsid w:val="00FD557C"/>
    <w:rsid w:val="00FD7EEE"/>
    <w:rsid w:val="00FE1195"/>
    <w:rsid w:val="00FE1AE1"/>
    <w:rsid w:val="00FE203D"/>
    <w:rsid w:val="00FE3602"/>
    <w:rsid w:val="01E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6D24"/>
  <w15:chartTrackingRefBased/>
  <w15:docId w15:val="{042988D0-6130-471E-9DBD-54C36CA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C2B"/>
    <w:pPr>
      <w:keepNext/>
      <w:spacing w:line="259" w:lineRule="auto"/>
      <w:ind w:left="720"/>
      <w:jc w:val="center"/>
      <w:outlineLvl w:val="3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B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D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6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A4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90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6C2B"/>
    <w:rPr>
      <w:rFonts w:ascii="Century Gothic" w:hAnsi="Century Gothic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69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E20B2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B2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paragraph">
    <w:name w:val="paragraph"/>
    <w:basedOn w:val="Normal"/>
    <w:rsid w:val="0098173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173B"/>
  </w:style>
  <w:style w:type="character" w:customStyle="1" w:styleId="eop">
    <w:name w:val="eop"/>
    <w:basedOn w:val="DefaultParagraphFont"/>
    <w:rsid w:val="0098173B"/>
  </w:style>
  <w:style w:type="character" w:styleId="Hyperlink">
    <w:name w:val="Hyperlink"/>
    <w:basedOn w:val="DefaultParagraphFont"/>
    <w:uiPriority w:val="99"/>
    <w:unhideWhenUsed/>
    <w:rsid w:val="00D27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NSverifications@dco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a3c7a-0e32-4243-badd-f7136ac0b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1C52685FC43952C3CD63111E899" ma:contentTypeVersion="16" ma:contentTypeDescription="Create a new document." ma:contentTypeScope="" ma:versionID="be2a8963403cf420ea0eaa8eaa160a37">
  <xsd:schema xmlns:xsd="http://www.w3.org/2001/XMLSchema" xmlns:xs="http://www.w3.org/2001/XMLSchema" xmlns:p="http://schemas.microsoft.com/office/2006/metadata/properties" xmlns:ns3="b51c11ad-4ec7-4b5b-b15f-ea94e28debfd" xmlns:ns4="f11a3c7a-0e32-4243-badd-f7136ac0b572" targetNamespace="http://schemas.microsoft.com/office/2006/metadata/properties" ma:root="true" ma:fieldsID="03ce9272320d3563dcf454837c59d1f0" ns3:_="" ns4:_="">
    <xsd:import namespace="b51c11ad-4ec7-4b5b-b15f-ea94e28debfd"/>
    <xsd:import namespace="f11a3c7a-0e32-4243-badd-f7136ac0b5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11ad-4ec7-4b5b-b15f-ea94e28de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a3c7a-0e32-4243-badd-f7136ac0b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9F78F-6A66-4B93-ADEC-BCFB86412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02CC7-172F-4BF0-B7D5-5839E8BC6269}">
  <ds:schemaRefs>
    <ds:schemaRef ds:uri="http://schemas.microsoft.com/office/2006/metadata/properties"/>
    <ds:schemaRef ds:uri="http://schemas.microsoft.com/office/infopath/2007/PartnerControls"/>
    <ds:schemaRef ds:uri="f11a3c7a-0e32-4243-badd-f7136ac0b572"/>
  </ds:schemaRefs>
</ds:datastoreItem>
</file>

<file path=customXml/itemProps3.xml><?xml version="1.0" encoding="utf-8"?>
<ds:datastoreItem xmlns:ds="http://schemas.openxmlformats.org/officeDocument/2006/customXml" ds:itemID="{866FC11F-4192-4043-B68B-E1B223B4F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B8E23-8DE1-4778-B545-F1423427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11ad-4ec7-4b5b-b15f-ea94e28debfd"/>
    <ds:schemaRef ds:uri="f11a3c7a-0e32-4243-badd-f7136ac0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Ammita M.</dc:creator>
  <cp:keywords/>
  <dc:description/>
  <cp:lastModifiedBy>Wisnowski, Brian</cp:lastModifiedBy>
  <cp:revision>6</cp:revision>
  <cp:lastPrinted>2025-11-07T14:06:00Z</cp:lastPrinted>
  <dcterms:created xsi:type="dcterms:W3CDTF">2026-05-08T12:45:00Z</dcterms:created>
  <dcterms:modified xsi:type="dcterms:W3CDTF">2026-05-26T17:36:00Z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0x010100E54421C52685FC43952C3CD63111E899</vt:lpwstr>
  </property>
</Properties>
</file>