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5BCB" w14:textId="7779A401" w:rsidR="00340CB5" w:rsidRPr="00612551" w:rsidRDefault="00612551" w:rsidP="00340CB5">
      <w:pPr>
        <w:rPr>
          <w:b/>
          <w:bCs/>
          <w:color w:val="538135" w:themeColor="accent6" w:themeShade="BF"/>
        </w:rPr>
      </w:pPr>
      <w:r w:rsidRPr="00612551">
        <w:rPr>
          <w:b/>
          <w:bCs/>
          <w:color w:val="538135" w:themeColor="accent6" w:themeShade="BF"/>
        </w:rPr>
        <w:t>DURHAM JOINS TOGETHER TO SAVE LIVES</w:t>
      </w:r>
    </w:p>
    <w:p w14:paraId="1376E34B" w14:textId="77777777" w:rsidR="00340CB5" w:rsidRPr="0048256C" w:rsidRDefault="00340CB5" w:rsidP="00340CB5">
      <w:pPr>
        <w:jc w:val="both"/>
        <w:rPr>
          <w:rFonts w:asciiTheme="majorHAnsi" w:hAnsiTheme="majorHAnsi" w:cstheme="majorHAnsi"/>
          <w:b/>
          <w:color w:val="70AD47" w:themeColor="accent6"/>
          <w:sz w:val="20"/>
          <w:szCs w:val="20"/>
          <w:u w:val="single"/>
        </w:rPr>
      </w:pPr>
      <w:r w:rsidRPr="0048256C">
        <w:rPr>
          <w:rFonts w:asciiTheme="majorHAnsi" w:hAnsiTheme="majorHAnsi" w:cstheme="majorHAnsi"/>
          <w:b/>
          <w:color w:val="70AD47" w:themeColor="accent6"/>
          <w:sz w:val="20"/>
          <w:szCs w:val="20"/>
          <w:u w:val="single"/>
        </w:rPr>
        <w:t>Mental Health and Substance Use Disorder Treatment Committee</w:t>
      </w:r>
    </w:p>
    <w:p w14:paraId="52FA5D02" w14:textId="3D23BD61" w:rsidR="00340CB5" w:rsidRPr="0048256C" w:rsidRDefault="00C128D9" w:rsidP="00340CB5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48256C">
        <w:rPr>
          <w:rFonts w:asciiTheme="majorHAnsi" w:hAnsiTheme="majorHAnsi" w:cstheme="majorHAnsi"/>
          <w:b/>
          <w:sz w:val="20"/>
          <w:szCs w:val="20"/>
        </w:rPr>
        <w:t>August</w:t>
      </w:r>
      <w:r w:rsidR="00192EE5" w:rsidRPr="0048256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8256C">
        <w:rPr>
          <w:rFonts w:asciiTheme="majorHAnsi" w:hAnsiTheme="majorHAnsi" w:cstheme="majorHAnsi"/>
          <w:b/>
          <w:sz w:val="20"/>
          <w:szCs w:val="20"/>
        </w:rPr>
        <w:t>9</w:t>
      </w:r>
      <w:r w:rsidR="00340CB5" w:rsidRPr="0048256C">
        <w:rPr>
          <w:rFonts w:asciiTheme="majorHAnsi" w:hAnsiTheme="majorHAnsi" w:cstheme="majorHAnsi"/>
          <w:b/>
          <w:sz w:val="20"/>
          <w:szCs w:val="20"/>
        </w:rPr>
        <w:t>, 2022, Meeting Minutes</w:t>
      </w:r>
    </w:p>
    <w:p w14:paraId="775C7018" w14:textId="7A551A09" w:rsidR="0021347F" w:rsidRPr="0048256C" w:rsidRDefault="00340CB5" w:rsidP="00340CB5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48256C">
        <w:rPr>
          <w:rFonts w:asciiTheme="majorHAnsi" w:hAnsiTheme="majorHAnsi" w:cstheme="majorHAnsi"/>
          <w:b/>
          <w:sz w:val="20"/>
          <w:szCs w:val="20"/>
          <w:u w:val="single"/>
        </w:rPr>
        <w:t>Present:</w:t>
      </w:r>
      <w:r w:rsidRPr="0048256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1347F" w:rsidRPr="0048256C">
        <w:rPr>
          <w:rFonts w:asciiTheme="majorHAnsi" w:hAnsiTheme="majorHAnsi" w:cstheme="majorHAnsi"/>
          <w:bCs/>
          <w:sz w:val="20"/>
          <w:szCs w:val="20"/>
        </w:rPr>
        <w:t xml:space="preserve">Carlyle Johnson, Gudrun Parmer, Sheriff Clarence Birkhead, </w:t>
      </w:r>
      <w:r w:rsidR="00052E62">
        <w:rPr>
          <w:rFonts w:asciiTheme="majorHAnsi" w:hAnsiTheme="majorHAnsi" w:cstheme="majorHAnsi"/>
          <w:bCs/>
          <w:sz w:val="20"/>
          <w:szCs w:val="20"/>
        </w:rPr>
        <w:t>Chief</w:t>
      </w:r>
      <w:r w:rsidR="00A234BB" w:rsidRPr="0048256C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50898">
        <w:rPr>
          <w:rFonts w:asciiTheme="majorHAnsi" w:hAnsiTheme="majorHAnsi" w:cstheme="majorHAnsi"/>
          <w:bCs/>
          <w:sz w:val="20"/>
          <w:szCs w:val="20"/>
        </w:rPr>
        <w:t xml:space="preserve">Johnny </w:t>
      </w:r>
      <w:r w:rsidR="00A234BB" w:rsidRPr="0048256C">
        <w:rPr>
          <w:rFonts w:asciiTheme="majorHAnsi" w:hAnsiTheme="majorHAnsi" w:cstheme="majorHAnsi"/>
          <w:bCs/>
          <w:sz w:val="20"/>
          <w:szCs w:val="20"/>
        </w:rPr>
        <w:t>Hawkins</w:t>
      </w:r>
      <w:r w:rsidR="0021347F" w:rsidRPr="0048256C">
        <w:rPr>
          <w:rFonts w:asciiTheme="majorHAnsi" w:hAnsiTheme="majorHAnsi" w:cstheme="majorHAnsi"/>
          <w:bCs/>
          <w:sz w:val="20"/>
          <w:szCs w:val="20"/>
        </w:rPr>
        <w:t xml:space="preserve">, Cindy Haynes, Donna Rosser, Helen Tripp, </w:t>
      </w:r>
      <w:r w:rsidR="00A234BB" w:rsidRPr="0048256C">
        <w:rPr>
          <w:rFonts w:asciiTheme="majorHAnsi" w:hAnsiTheme="majorHAnsi" w:cstheme="majorHAnsi"/>
          <w:bCs/>
          <w:sz w:val="20"/>
          <w:szCs w:val="20"/>
        </w:rPr>
        <w:t>Carolyn</w:t>
      </w:r>
      <w:r w:rsidR="0021347F" w:rsidRPr="0048256C">
        <w:rPr>
          <w:rFonts w:asciiTheme="majorHAnsi" w:hAnsiTheme="majorHAnsi" w:cstheme="majorHAnsi"/>
          <w:bCs/>
          <w:sz w:val="20"/>
          <w:szCs w:val="20"/>
        </w:rPr>
        <w:t xml:space="preserve"> Crowder, Keis</w:t>
      </w:r>
      <w:r w:rsidR="00E50898">
        <w:rPr>
          <w:rFonts w:asciiTheme="majorHAnsi" w:hAnsiTheme="majorHAnsi" w:cstheme="majorHAnsi"/>
          <w:bCs/>
          <w:sz w:val="20"/>
          <w:szCs w:val="20"/>
        </w:rPr>
        <w:t>c</w:t>
      </w:r>
      <w:r w:rsidR="0021347F" w:rsidRPr="0048256C">
        <w:rPr>
          <w:rFonts w:asciiTheme="majorHAnsi" w:hAnsiTheme="majorHAnsi" w:cstheme="majorHAnsi"/>
          <w:bCs/>
          <w:sz w:val="20"/>
          <w:szCs w:val="20"/>
        </w:rPr>
        <w:t>ha Lovelac</w:t>
      </w:r>
      <w:r w:rsidR="00AB7114" w:rsidRPr="0048256C">
        <w:rPr>
          <w:rFonts w:asciiTheme="majorHAnsi" w:hAnsiTheme="majorHAnsi" w:cstheme="majorHAnsi"/>
          <w:bCs/>
          <w:sz w:val="20"/>
          <w:szCs w:val="20"/>
        </w:rPr>
        <w:t>e</w:t>
      </w:r>
      <w:r w:rsidR="0021347F" w:rsidRPr="0048256C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0A24FE" w:rsidRPr="0048256C">
        <w:rPr>
          <w:rFonts w:asciiTheme="majorHAnsi" w:hAnsiTheme="majorHAnsi" w:cstheme="majorHAnsi"/>
          <w:bCs/>
          <w:sz w:val="20"/>
          <w:szCs w:val="20"/>
        </w:rPr>
        <w:t>Laci</w:t>
      </w:r>
      <w:r w:rsidR="00612551">
        <w:rPr>
          <w:rFonts w:asciiTheme="majorHAnsi" w:hAnsiTheme="majorHAnsi" w:cstheme="majorHAnsi"/>
          <w:bCs/>
          <w:sz w:val="20"/>
          <w:szCs w:val="20"/>
        </w:rPr>
        <w:t>e</w:t>
      </w:r>
      <w:r w:rsidR="000A24FE" w:rsidRPr="0048256C">
        <w:rPr>
          <w:rFonts w:asciiTheme="majorHAnsi" w:hAnsiTheme="majorHAnsi" w:cstheme="majorHAnsi"/>
          <w:bCs/>
          <w:sz w:val="20"/>
          <w:szCs w:val="20"/>
        </w:rPr>
        <w:t xml:space="preserve"> Scofield, Marc Strange, </w:t>
      </w:r>
      <w:r w:rsidR="00A234BB" w:rsidRPr="0048256C">
        <w:rPr>
          <w:rFonts w:asciiTheme="majorHAnsi" w:hAnsiTheme="majorHAnsi" w:cstheme="majorHAnsi"/>
          <w:bCs/>
          <w:sz w:val="20"/>
          <w:szCs w:val="20"/>
        </w:rPr>
        <w:t xml:space="preserve">Kim </w:t>
      </w:r>
      <w:proofErr w:type="spellStart"/>
      <w:r w:rsidR="00A234BB" w:rsidRPr="0048256C">
        <w:rPr>
          <w:rFonts w:asciiTheme="majorHAnsi" w:hAnsiTheme="majorHAnsi" w:cstheme="majorHAnsi"/>
          <w:bCs/>
          <w:sz w:val="20"/>
          <w:szCs w:val="20"/>
        </w:rPr>
        <w:t>Chansen</w:t>
      </w:r>
      <w:proofErr w:type="spellEnd"/>
      <w:r w:rsidR="000A24FE" w:rsidRPr="0048256C">
        <w:rPr>
          <w:rFonts w:asciiTheme="majorHAnsi" w:hAnsiTheme="majorHAnsi" w:cstheme="majorHAnsi"/>
          <w:bCs/>
          <w:sz w:val="20"/>
          <w:szCs w:val="20"/>
        </w:rPr>
        <w:t xml:space="preserve">, Michele </w:t>
      </w:r>
      <w:r w:rsidR="00AB7114" w:rsidRPr="0048256C">
        <w:rPr>
          <w:rFonts w:asciiTheme="majorHAnsi" w:hAnsiTheme="majorHAnsi" w:cstheme="majorHAnsi"/>
          <w:bCs/>
          <w:sz w:val="20"/>
          <w:szCs w:val="20"/>
        </w:rPr>
        <w:t>E</w:t>
      </w:r>
      <w:r w:rsidR="000A24FE" w:rsidRPr="0048256C">
        <w:rPr>
          <w:rFonts w:asciiTheme="majorHAnsi" w:hAnsiTheme="majorHAnsi" w:cstheme="majorHAnsi"/>
          <w:bCs/>
          <w:sz w:val="20"/>
          <w:szCs w:val="20"/>
        </w:rPr>
        <w:t xml:space="preserve">aster, Susan </w:t>
      </w:r>
      <w:proofErr w:type="spellStart"/>
      <w:r w:rsidR="000A24FE" w:rsidRPr="0048256C">
        <w:rPr>
          <w:rFonts w:asciiTheme="majorHAnsi" w:hAnsiTheme="majorHAnsi" w:cstheme="majorHAnsi"/>
          <w:bCs/>
          <w:sz w:val="20"/>
          <w:szCs w:val="20"/>
        </w:rPr>
        <w:t>Kornett</w:t>
      </w:r>
      <w:proofErr w:type="spellEnd"/>
      <w:r w:rsidR="000A24FE" w:rsidRPr="0048256C">
        <w:rPr>
          <w:rFonts w:asciiTheme="majorHAnsi" w:hAnsiTheme="majorHAnsi" w:cstheme="majorHAnsi"/>
          <w:bCs/>
          <w:sz w:val="20"/>
          <w:szCs w:val="20"/>
        </w:rPr>
        <w:t>, Tremaine Sawyer</w:t>
      </w:r>
      <w:r w:rsidR="005C38D9" w:rsidRPr="0048256C">
        <w:rPr>
          <w:rFonts w:asciiTheme="majorHAnsi" w:hAnsiTheme="majorHAnsi" w:cstheme="majorHAnsi"/>
          <w:bCs/>
          <w:sz w:val="20"/>
          <w:szCs w:val="20"/>
        </w:rPr>
        <w:t>, Tammy Vaugh</w:t>
      </w:r>
      <w:r w:rsidR="00E50898">
        <w:rPr>
          <w:rFonts w:asciiTheme="majorHAnsi" w:hAnsiTheme="majorHAnsi" w:cstheme="majorHAnsi"/>
          <w:bCs/>
          <w:sz w:val="20"/>
          <w:szCs w:val="20"/>
        </w:rPr>
        <w:t>a</w:t>
      </w:r>
      <w:r w:rsidR="005C38D9" w:rsidRPr="0048256C">
        <w:rPr>
          <w:rFonts w:asciiTheme="majorHAnsi" w:hAnsiTheme="majorHAnsi" w:cstheme="majorHAnsi"/>
          <w:bCs/>
          <w:sz w:val="20"/>
          <w:szCs w:val="20"/>
        </w:rPr>
        <w:t>n</w:t>
      </w:r>
      <w:r w:rsidR="00AB7114" w:rsidRPr="0048256C">
        <w:rPr>
          <w:rFonts w:asciiTheme="majorHAnsi" w:hAnsiTheme="majorHAnsi" w:cstheme="majorHAnsi"/>
          <w:bCs/>
          <w:sz w:val="20"/>
          <w:szCs w:val="20"/>
        </w:rPr>
        <w:t>, Roshanna Parker, L</w:t>
      </w:r>
      <w:r w:rsidR="00612551">
        <w:rPr>
          <w:rFonts w:asciiTheme="majorHAnsi" w:hAnsiTheme="majorHAnsi" w:cstheme="majorHAnsi"/>
          <w:bCs/>
          <w:sz w:val="20"/>
          <w:szCs w:val="20"/>
        </w:rPr>
        <w:t>A</w:t>
      </w:r>
      <w:r w:rsidR="00AB7114" w:rsidRPr="0048256C">
        <w:rPr>
          <w:rFonts w:asciiTheme="majorHAnsi" w:hAnsiTheme="majorHAnsi" w:cstheme="majorHAnsi"/>
          <w:bCs/>
          <w:sz w:val="20"/>
          <w:szCs w:val="20"/>
        </w:rPr>
        <w:t xml:space="preserve"> Cuttler, </w:t>
      </w:r>
      <w:r w:rsidR="0019529A" w:rsidRPr="0048256C">
        <w:rPr>
          <w:rFonts w:asciiTheme="majorHAnsi" w:hAnsiTheme="majorHAnsi" w:cstheme="majorHAnsi"/>
          <w:bCs/>
          <w:sz w:val="20"/>
          <w:szCs w:val="20"/>
        </w:rPr>
        <w:t>Lawrence Greenbla</w:t>
      </w:r>
      <w:r w:rsidR="00612551">
        <w:rPr>
          <w:rFonts w:asciiTheme="majorHAnsi" w:hAnsiTheme="majorHAnsi" w:cstheme="majorHAnsi"/>
          <w:bCs/>
          <w:sz w:val="20"/>
          <w:szCs w:val="20"/>
        </w:rPr>
        <w:t>t</w:t>
      </w:r>
      <w:r w:rsidR="0019529A" w:rsidRPr="0048256C">
        <w:rPr>
          <w:rFonts w:asciiTheme="majorHAnsi" w:hAnsiTheme="majorHAnsi" w:cstheme="majorHAnsi"/>
          <w:bCs/>
          <w:sz w:val="20"/>
          <w:szCs w:val="20"/>
        </w:rPr>
        <w:t xml:space="preserve">t MD, </w:t>
      </w:r>
      <w:r w:rsidR="00A234BB" w:rsidRPr="0048256C">
        <w:rPr>
          <w:rFonts w:asciiTheme="majorHAnsi" w:hAnsiTheme="majorHAnsi" w:cstheme="majorHAnsi"/>
          <w:bCs/>
          <w:sz w:val="20"/>
          <w:szCs w:val="20"/>
        </w:rPr>
        <w:t xml:space="preserve">Ryan Bell P.D., Major Spencer, Stephanie </w:t>
      </w:r>
      <w:proofErr w:type="spellStart"/>
      <w:r w:rsidR="00A234BB" w:rsidRPr="0048256C">
        <w:rPr>
          <w:rFonts w:asciiTheme="majorHAnsi" w:hAnsiTheme="majorHAnsi" w:cstheme="majorHAnsi"/>
          <w:bCs/>
          <w:sz w:val="20"/>
          <w:szCs w:val="20"/>
        </w:rPr>
        <w:t>Euker</w:t>
      </w:r>
      <w:proofErr w:type="spellEnd"/>
      <w:r w:rsidR="00A234BB" w:rsidRPr="0048256C">
        <w:rPr>
          <w:rFonts w:asciiTheme="majorHAnsi" w:hAnsiTheme="majorHAnsi" w:cstheme="majorHAnsi"/>
          <w:bCs/>
          <w:sz w:val="20"/>
          <w:szCs w:val="20"/>
        </w:rPr>
        <w:t xml:space="preserve"> M.D. Ph.D.</w:t>
      </w:r>
      <w:r w:rsidR="00612551">
        <w:rPr>
          <w:rFonts w:asciiTheme="majorHAnsi" w:hAnsiTheme="majorHAnsi" w:cstheme="majorHAnsi"/>
          <w:bCs/>
          <w:sz w:val="20"/>
          <w:szCs w:val="20"/>
        </w:rPr>
        <w:t xml:space="preserve">, Kelley Waggy, Dr. Stephen </w:t>
      </w:r>
      <w:proofErr w:type="spellStart"/>
      <w:r w:rsidR="00612551">
        <w:rPr>
          <w:rFonts w:asciiTheme="majorHAnsi" w:hAnsiTheme="majorHAnsi" w:cstheme="majorHAnsi"/>
          <w:bCs/>
          <w:sz w:val="20"/>
          <w:szCs w:val="20"/>
        </w:rPr>
        <w:t>Loney</w:t>
      </w:r>
      <w:proofErr w:type="spellEnd"/>
      <w:r w:rsidR="00612551">
        <w:rPr>
          <w:rFonts w:asciiTheme="majorHAnsi" w:hAnsiTheme="majorHAnsi" w:cstheme="majorHAnsi"/>
          <w:bCs/>
          <w:sz w:val="20"/>
          <w:szCs w:val="20"/>
        </w:rPr>
        <w:t>,</w:t>
      </w:r>
      <w:r w:rsidR="00052E62">
        <w:rPr>
          <w:rFonts w:asciiTheme="majorHAnsi" w:hAnsiTheme="majorHAnsi" w:cstheme="majorHAnsi"/>
          <w:bCs/>
          <w:sz w:val="20"/>
          <w:szCs w:val="20"/>
        </w:rPr>
        <w:t xml:space="preserve"> Jesse Battle</w:t>
      </w:r>
      <w:r w:rsidR="00E50898">
        <w:rPr>
          <w:rFonts w:asciiTheme="majorHAnsi" w:hAnsiTheme="majorHAnsi" w:cstheme="majorHAnsi"/>
          <w:bCs/>
          <w:sz w:val="20"/>
          <w:szCs w:val="20"/>
        </w:rPr>
        <w:t>, Kristen Patterson, Lindsey Bickers-Bock</w:t>
      </w:r>
      <w:r w:rsidR="0082755E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82755E" w:rsidRPr="00BF2927">
        <w:rPr>
          <w:rFonts w:asciiTheme="majorHAnsi" w:hAnsiTheme="majorHAnsi" w:cstheme="majorHAnsi"/>
          <w:bCs/>
          <w:sz w:val="20"/>
          <w:szCs w:val="20"/>
        </w:rPr>
        <w:t>Anna</w:t>
      </w:r>
      <w:r w:rsidR="00BF2927" w:rsidRPr="00BF2927">
        <w:rPr>
          <w:rFonts w:asciiTheme="majorHAnsi" w:hAnsiTheme="majorHAnsi" w:cstheme="majorHAnsi"/>
          <w:bCs/>
          <w:sz w:val="20"/>
          <w:szCs w:val="20"/>
        </w:rPr>
        <w:t xml:space="preserve"> R</w:t>
      </w:r>
      <w:r w:rsidR="00BF2927">
        <w:rPr>
          <w:rFonts w:asciiTheme="majorHAnsi" w:hAnsiTheme="majorHAnsi" w:cstheme="majorHAnsi"/>
          <w:bCs/>
          <w:sz w:val="20"/>
          <w:szCs w:val="20"/>
        </w:rPr>
        <w:t>ickey</w:t>
      </w:r>
    </w:p>
    <w:p w14:paraId="1DFCCF96" w14:textId="77777777" w:rsidR="00222226" w:rsidRDefault="00340CB5" w:rsidP="00340CB5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8256C">
        <w:rPr>
          <w:rFonts w:asciiTheme="majorHAnsi" w:hAnsiTheme="majorHAnsi" w:cstheme="majorHAnsi"/>
          <w:b/>
          <w:sz w:val="20"/>
          <w:szCs w:val="20"/>
          <w:u w:val="single"/>
        </w:rPr>
        <w:t>Welcome &amp; Introductions</w:t>
      </w:r>
      <w:r w:rsidR="0019250E" w:rsidRPr="0048256C">
        <w:rPr>
          <w:rFonts w:asciiTheme="majorHAnsi" w:hAnsiTheme="majorHAnsi" w:cstheme="majorHAnsi"/>
          <w:b/>
          <w:sz w:val="20"/>
          <w:szCs w:val="20"/>
          <w:u w:val="single"/>
        </w:rPr>
        <w:t xml:space="preserve">: </w:t>
      </w:r>
    </w:p>
    <w:p w14:paraId="16461DF8" w14:textId="5575A9B8" w:rsidR="00340CB5" w:rsidRPr="0048256C" w:rsidRDefault="00340CB5" w:rsidP="00340CB5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8256C">
        <w:rPr>
          <w:rFonts w:asciiTheme="majorHAnsi" w:hAnsiTheme="majorHAnsi" w:cstheme="majorHAnsi"/>
          <w:bCs/>
          <w:sz w:val="20"/>
          <w:szCs w:val="20"/>
        </w:rPr>
        <w:t>Co-Chair</w:t>
      </w:r>
      <w:r w:rsidR="00BC6DEF" w:rsidRPr="0048256C">
        <w:rPr>
          <w:rFonts w:asciiTheme="majorHAnsi" w:hAnsiTheme="majorHAnsi" w:cstheme="majorHAnsi"/>
          <w:bCs/>
          <w:sz w:val="20"/>
          <w:szCs w:val="20"/>
        </w:rPr>
        <w:t>s</w:t>
      </w:r>
      <w:r w:rsidRPr="0048256C">
        <w:rPr>
          <w:rFonts w:asciiTheme="majorHAnsi" w:hAnsiTheme="majorHAnsi" w:cstheme="majorHAnsi"/>
          <w:bCs/>
          <w:sz w:val="20"/>
          <w:szCs w:val="20"/>
        </w:rPr>
        <w:t xml:space="preserve"> Gudrun Parmer </w:t>
      </w:r>
      <w:r w:rsidR="002909B2" w:rsidRPr="0048256C">
        <w:rPr>
          <w:rFonts w:asciiTheme="majorHAnsi" w:hAnsiTheme="majorHAnsi" w:cstheme="majorHAnsi"/>
          <w:bCs/>
          <w:sz w:val="20"/>
          <w:szCs w:val="20"/>
        </w:rPr>
        <w:t xml:space="preserve">and </w:t>
      </w:r>
      <w:r w:rsidR="00BC6DEF" w:rsidRPr="0048256C">
        <w:rPr>
          <w:rFonts w:asciiTheme="majorHAnsi" w:hAnsiTheme="majorHAnsi" w:cstheme="majorHAnsi"/>
          <w:bCs/>
          <w:sz w:val="20"/>
          <w:szCs w:val="20"/>
        </w:rPr>
        <w:t xml:space="preserve">Carlyle Johnson </w:t>
      </w:r>
      <w:r w:rsidRPr="0048256C">
        <w:rPr>
          <w:rFonts w:asciiTheme="majorHAnsi" w:hAnsiTheme="majorHAnsi" w:cstheme="majorHAnsi"/>
          <w:bCs/>
          <w:sz w:val="20"/>
          <w:szCs w:val="20"/>
        </w:rPr>
        <w:t>called the meeting to order, welcomed all present and began introductions.</w:t>
      </w:r>
    </w:p>
    <w:p w14:paraId="29CA6AF3" w14:textId="77777777" w:rsidR="00222226" w:rsidRDefault="00340CB5" w:rsidP="00340CB5">
      <w:pPr>
        <w:jc w:val="both"/>
        <w:rPr>
          <w:rFonts w:asciiTheme="majorHAnsi" w:hAnsiTheme="majorHAnsi" w:cstheme="majorHAnsi"/>
          <w:sz w:val="20"/>
          <w:szCs w:val="20"/>
        </w:rPr>
      </w:pPr>
      <w:r w:rsidRPr="0048256C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Review of </w:t>
      </w:r>
      <w:r w:rsidR="00C128D9" w:rsidRPr="0048256C">
        <w:rPr>
          <w:rFonts w:asciiTheme="majorHAnsi" w:hAnsiTheme="majorHAnsi" w:cstheme="majorHAnsi"/>
          <w:b/>
          <w:bCs/>
          <w:sz w:val="20"/>
          <w:szCs w:val="20"/>
          <w:u w:val="single"/>
        </w:rPr>
        <w:t>June</w:t>
      </w:r>
      <w:r w:rsidRPr="0048256C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3B609B" w:rsidRPr="0048256C">
        <w:rPr>
          <w:rFonts w:asciiTheme="majorHAnsi" w:hAnsiTheme="majorHAnsi" w:cstheme="majorHAnsi"/>
          <w:b/>
          <w:bCs/>
          <w:sz w:val="20"/>
          <w:szCs w:val="20"/>
          <w:u w:val="single"/>
        </w:rPr>
        <w:t>Minutes:</w:t>
      </w:r>
      <w:r w:rsidR="003B609B" w:rsidRPr="0048256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9132339" w14:textId="4910EFC0" w:rsidR="00340CB5" w:rsidRPr="0048256C" w:rsidRDefault="00246642" w:rsidP="00340CB5">
      <w:pPr>
        <w:jc w:val="both"/>
        <w:rPr>
          <w:rFonts w:asciiTheme="majorHAnsi" w:hAnsiTheme="majorHAnsi" w:cstheme="majorHAnsi"/>
          <w:sz w:val="20"/>
          <w:szCs w:val="20"/>
        </w:rPr>
      </w:pPr>
      <w:r w:rsidRPr="0048256C">
        <w:rPr>
          <w:rFonts w:asciiTheme="majorHAnsi" w:hAnsiTheme="majorHAnsi" w:cstheme="majorHAnsi"/>
          <w:sz w:val="20"/>
          <w:szCs w:val="20"/>
        </w:rPr>
        <w:t>The minutes were reviewed</w:t>
      </w:r>
      <w:r w:rsidR="00222226">
        <w:rPr>
          <w:rFonts w:asciiTheme="majorHAnsi" w:hAnsiTheme="majorHAnsi" w:cstheme="majorHAnsi"/>
          <w:sz w:val="20"/>
          <w:szCs w:val="20"/>
        </w:rPr>
        <w:t xml:space="preserve"> and approved unanimously.</w:t>
      </w:r>
      <w:r w:rsidRPr="0048256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7475AB0" w14:textId="7D2B77E9" w:rsidR="0019529A" w:rsidRDefault="0019529A" w:rsidP="0019529A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8256C">
        <w:rPr>
          <w:rFonts w:asciiTheme="majorHAnsi" w:hAnsiTheme="majorHAnsi" w:cstheme="majorHAnsi"/>
          <w:b/>
          <w:bCs/>
          <w:sz w:val="20"/>
          <w:szCs w:val="20"/>
          <w:u w:val="single"/>
        </w:rPr>
        <w:t>Community Linkages to Care</w:t>
      </w:r>
    </w:p>
    <w:p w14:paraId="07A42926" w14:textId="77777777" w:rsidR="00222226" w:rsidRPr="0048256C" w:rsidRDefault="00222226" w:rsidP="0019529A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7187AE02" w14:textId="77777777" w:rsidR="00222226" w:rsidRDefault="0019529A" w:rsidP="0019529A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48256C">
        <w:rPr>
          <w:rFonts w:asciiTheme="majorHAnsi" w:hAnsiTheme="majorHAnsi" w:cstheme="majorHAnsi"/>
          <w:b/>
          <w:bCs/>
          <w:sz w:val="20"/>
          <w:szCs w:val="20"/>
        </w:rPr>
        <w:t>Program Update</w:t>
      </w:r>
    </w:p>
    <w:p w14:paraId="376EF465" w14:textId="56A4C66D" w:rsidR="0019529A" w:rsidRPr="00222226" w:rsidRDefault="00A234BB" w:rsidP="0019529A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48256C">
        <w:rPr>
          <w:rFonts w:asciiTheme="majorHAnsi" w:hAnsiTheme="majorHAnsi" w:cstheme="majorHAnsi"/>
          <w:sz w:val="20"/>
          <w:szCs w:val="20"/>
        </w:rPr>
        <w:t>Lacie Scofield</w:t>
      </w:r>
      <w:r w:rsidRPr="0048256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48256C">
        <w:rPr>
          <w:rFonts w:asciiTheme="majorHAnsi" w:hAnsiTheme="majorHAnsi" w:cstheme="majorHAnsi"/>
          <w:sz w:val="20"/>
          <w:szCs w:val="20"/>
        </w:rPr>
        <w:t xml:space="preserve">shared that the new peer support specialist had settled </w:t>
      </w:r>
      <w:proofErr w:type="gramStart"/>
      <w:r w:rsidRPr="0048256C">
        <w:rPr>
          <w:rFonts w:asciiTheme="majorHAnsi" w:hAnsiTheme="majorHAnsi" w:cstheme="majorHAnsi"/>
          <w:sz w:val="20"/>
          <w:szCs w:val="20"/>
        </w:rPr>
        <w:t>in</w:t>
      </w:r>
      <w:proofErr w:type="gramEnd"/>
      <w:r w:rsidRPr="0048256C">
        <w:rPr>
          <w:rFonts w:asciiTheme="majorHAnsi" w:hAnsiTheme="majorHAnsi" w:cstheme="majorHAnsi"/>
          <w:sz w:val="20"/>
          <w:szCs w:val="20"/>
        </w:rPr>
        <w:t xml:space="preserve"> and they experienced a record number of </w:t>
      </w:r>
      <w:r w:rsidR="0082755E">
        <w:rPr>
          <w:rFonts w:asciiTheme="majorHAnsi" w:hAnsiTheme="majorHAnsi" w:cstheme="majorHAnsi"/>
          <w:sz w:val="20"/>
          <w:szCs w:val="20"/>
        </w:rPr>
        <w:t>PORT</w:t>
      </w:r>
      <w:r w:rsidRPr="0048256C">
        <w:rPr>
          <w:rFonts w:asciiTheme="majorHAnsi" w:hAnsiTheme="majorHAnsi" w:cstheme="majorHAnsi"/>
          <w:sz w:val="20"/>
          <w:szCs w:val="20"/>
        </w:rPr>
        <w:t xml:space="preserve"> visits in June. They had 31 </w:t>
      </w:r>
      <w:r w:rsidR="00E95C49" w:rsidRPr="0048256C">
        <w:rPr>
          <w:rFonts w:asciiTheme="majorHAnsi" w:hAnsiTheme="majorHAnsi" w:cstheme="majorHAnsi"/>
          <w:sz w:val="20"/>
          <w:szCs w:val="20"/>
        </w:rPr>
        <w:t>attempted</w:t>
      </w:r>
      <w:r w:rsidRPr="0048256C">
        <w:rPr>
          <w:rFonts w:asciiTheme="majorHAnsi" w:hAnsiTheme="majorHAnsi" w:cstheme="majorHAnsi"/>
          <w:sz w:val="20"/>
          <w:szCs w:val="20"/>
        </w:rPr>
        <w:t xml:space="preserve"> visits and were able to effectively reach 24 individuals. They received 6 referrals </w:t>
      </w:r>
      <w:r w:rsidR="00E95C49" w:rsidRPr="0048256C">
        <w:rPr>
          <w:rFonts w:asciiTheme="majorHAnsi" w:hAnsiTheme="majorHAnsi" w:cstheme="majorHAnsi"/>
          <w:sz w:val="20"/>
          <w:szCs w:val="20"/>
        </w:rPr>
        <w:t>from D</w:t>
      </w:r>
      <w:r w:rsidR="0082755E">
        <w:rPr>
          <w:rFonts w:asciiTheme="majorHAnsi" w:hAnsiTheme="majorHAnsi" w:cstheme="majorHAnsi"/>
          <w:sz w:val="20"/>
          <w:szCs w:val="20"/>
        </w:rPr>
        <w:t>uke</w:t>
      </w:r>
      <w:r w:rsidR="00E95C49" w:rsidRPr="0048256C">
        <w:rPr>
          <w:rFonts w:asciiTheme="majorHAnsi" w:hAnsiTheme="majorHAnsi" w:cstheme="majorHAnsi"/>
          <w:sz w:val="20"/>
          <w:szCs w:val="20"/>
        </w:rPr>
        <w:t xml:space="preserve"> </w:t>
      </w:r>
      <w:r w:rsidR="0082755E">
        <w:rPr>
          <w:rFonts w:asciiTheme="majorHAnsi" w:hAnsiTheme="majorHAnsi" w:cstheme="majorHAnsi"/>
          <w:sz w:val="20"/>
          <w:szCs w:val="20"/>
        </w:rPr>
        <w:t>I</w:t>
      </w:r>
      <w:r w:rsidR="00E95C49" w:rsidRPr="0048256C">
        <w:rPr>
          <w:rFonts w:asciiTheme="majorHAnsi" w:hAnsiTheme="majorHAnsi" w:cstheme="majorHAnsi"/>
          <w:sz w:val="20"/>
          <w:szCs w:val="20"/>
        </w:rPr>
        <w:t xml:space="preserve">npatient in </w:t>
      </w:r>
      <w:r w:rsidR="00E95C49" w:rsidRPr="00BF2927">
        <w:rPr>
          <w:rFonts w:asciiTheme="majorHAnsi" w:hAnsiTheme="majorHAnsi" w:cstheme="majorHAnsi"/>
          <w:sz w:val="20"/>
          <w:szCs w:val="20"/>
        </w:rPr>
        <w:t>July. Anna</w:t>
      </w:r>
      <w:r w:rsidR="0082755E" w:rsidRPr="00BF2927">
        <w:rPr>
          <w:rFonts w:asciiTheme="majorHAnsi" w:hAnsiTheme="majorHAnsi" w:cstheme="majorHAnsi"/>
          <w:sz w:val="20"/>
          <w:szCs w:val="20"/>
        </w:rPr>
        <w:t xml:space="preserve"> </w:t>
      </w:r>
      <w:r w:rsidR="00BF2927" w:rsidRPr="00BF2927">
        <w:rPr>
          <w:rFonts w:asciiTheme="majorHAnsi" w:hAnsiTheme="majorHAnsi" w:cstheme="majorHAnsi"/>
          <w:sz w:val="20"/>
          <w:szCs w:val="20"/>
        </w:rPr>
        <w:t>Rickey</w:t>
      </w:r>
      <w:r w:rsidR="00E95C49" w:rsidRPr="0048256C">
        <w:rPr>
          <w:rFonts w:asciiTheme="majorHAnsi" w:hAnsiTheme="majorHAnsi" w:cstheme="majorHAnsi"/>
          <w:sz w:val="20"/>
          <w:szCs w:val="20"/>
        </w:rPr>
        <w:t xml:space="preserve"> </w:t>
      </w:r>
      <w:r w:rsidR="0082755E">
        <w:rPr>
          <w:rFonts w:asciiTheme="majorHAnsi" w:hAnsiTheme="majorHAnsi" w:cstheme="majorHAnsi"/>
          <w:sz w:val="20"/>
          <w:szCs w:val="20"/>
        </w:rPr>
        <w:t>s</w:t>
      </w:r>
      <w:r w:rsidR="00E95C49" w:rsidRPr="0048256C">
        <w:rPr>
          <w:rFonts w:asciiTheme="majorHAnsi" w:hAnsiTheme="majorHAnsi" w:cstheme="majorHAnsi"/>
          <w:sz w:val="20"/>
          <w:szCs w:val="20"/>
        </w:rPr>
        <w:t xml:space="preserve">hared that a few of those patients were accepted into DRRC for MAT. 2 were unable to utilize DRRC due to insurance constraints, resulting in them being placed </w:t>
      </w:r>
      <w:r w:rsidR="00F92F11">
        <w:rPr>
          <w:rFonts w:asciiTheme="majorHAnsi" w:hAnsiTheme="majorHAnsi" w:cstheme="majorHAnsi"/>
          <w:sz w:val="20"/>
          <w:szCs w:val="20"/>
        </w:rPr>
        <w:t xml:space="preserve">with an organization that </w:t>
      </w:r>
      <w:r w:rsidR="00E95C49" w:rsidRPr="0048256C">
        <w:rPr>
          <w:rFonts w:asciiTheme="majorHAnsi" w:hAnsiTheme="majorHAnsi" w:cstheme="majorHAnsi"/>
          <w:sz w:val="20"/>
          <w:szCs w:val="20"/>
        </w:rPr>
        <w:t xml:space="preserve">accepted by their insurance. </w:t>
      </w:r>
    </w:p>
    <w:tbl>
      <w:tblPr>
        <w:tblStyle w:val="TableGrid"/>
        <w:tblpPr w:leftFromText="180" w:rightFromText="180" w:vertAnchor="text" w:horzAnchor="margin" w:tblpXSpec="center" w:tblpY="634"/>
        <w:tblW w:w="9322" w:type="dxa"/>
        <w:tblLook w:val="04A0" w:firstRow="1" w:lastRow="0" w:firstColumn="1" w:lastColumn="0" w:noHBand="0" w:noVBand="1"/>
      </w:tblPr>
      <w:tblGrid>
        <w:gridCol w:w="3772"/>
        <w:gridCol w:w="1335"/>
        <w:gridCol w:w="1435"/>
        <w:gridCol w:w="1255"/>
        <w:gridCol w:w="1525"/>
      </w:tblGrid>
      <w:tr w:rsidR="00E95C49" w:rsidRPr="00612551" w14:paraId="20DEFAA0" w14:textId="77777777" w:rsidTr="00E95C49">
        <w:trPr>
          <w:trHeight w:val="252"/>
        </w:trPr>
        <w:tc>
          <w:tcPr>
            <w:tcW w:w="3772" w:type="dxa"/>
          </w:tcPr>
          <w:p w14:paraId="739C927B" w14:textId="77777777" w:rsidR="00E95C49" w:rsidRPr="00612551" w:rsidRDefault="00E95C49" w:rsidP="00E95C4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Referral Source</w:t>
            </w:r>
          </w:p>
        </w:tc>
        <w:tc>
          <w:tcPr>
            <w:tcW w:w="1335" w:type="dxa"/>
          </w:tcPr>
          <w:p w14:paraId="58AC6448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Referrals</w:t>
            </w:r>
          </w:p>
        </w:tc>
        <w:tc>
          <w:tcPr>
            <w:tcW w:w="1435" w:type="dxa"/>
          </w:tcPr>
          <w:p w14:paraId="688FF1B3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255" w:type="dxa"/>
          </w:tcPr>
          <w:p w14:paraId="75384E2B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Enrollees</w:t>
            </w:r>
          </w:p>
        </w:tc>
        <w:tc>
          <w:tcPr>
            <w:tcW w:w="1525" w:type="dxa"/>
          </w:tcPr>
          <w:p w14:paraId="0C1BC847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Naloxone Kits</w:t>
            </w:r>
          </w:p>
        </w:tc>
      </w:tr>
      <w:tr w:rsidR="00E95C49" w:rsidRPr="00612551" w14:paraId="5CD47C68" w14:textId="77777777" w:rsidTr="00E95C49">
        <w:trPr>
          <w:trHeight w:val="252"/>
        </w:trPr>
        <w:tc>
          <w:tcPr>
            <w:tcW w:w="3772" w:type="dxa"/>
          </w:tcPr>
          <w:p w14:paraId="254193C2" w14:textId="77777777" w:rsidR="00E95C49" w:rsidRPr="00612551" w:rsidRDefault="00E95C49" w:rsidP="00E95C4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5FCE45D4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0759B361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17435028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66BFB0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95C49" w:rsidRPr="00612551" w14:paraId="5056C4F4" w14:textId="77777777" w:rsidTr="00E95C49">
        <w:trPr>
          <w:trHeight w:val="252"/>
        </w:trPr>
        <w:tc>
          <w:tcPr>
            <w:tcW w:w="3772" w:type="dxa"/>
          </w:tcPr>
          <w:p w14:paraId="5EB587D5" w14:textId="77777777" w:rsidR="00E95C49" w:rsidRPr="00612551" w:rsidRDefault="00E95C49" w:rsidP="00E95C49">
            <w:pPr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Durham County EMS</w:t>
            </w:r>
          </w:p>
        </w:tc>
        <w:tc>
          <w:tcPr>
            <w:tcW w:w="1335" w:type="dxa"/>
          </w:tcPr>
          <w:p w14:paraId="7528DF5A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1435" w:type="dxa"/>
          </w:tcPr>
          <w:p w14:paraId="3C0D6BE4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255" w:type="dxa"/>
          </w:tcPr>
          <w:p w14:paraId="69F0EEC1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14:paraId="5B0455A7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70</w:t>
            </w:r>
          </w:p>
        </w:tc>
      </w:tr>
      <w:tr w:rsidR="00E95C49" w:rsidRPr="00612551" w14:paraId="3FCA150C" w14:textId="77777777" w:rsidTr="00E95C49">
        <w:trPr>
          <w:trHeight w:val="242"/>
        </w:trPr>
        <w:tc>
          <w:tcPr>
            <w:tcW w:w="3772" w:type="dxa"/>
          </w:tcPr>
          <w:p w14:paraId="2BCEA3F3" w14:textId="77777777" w:rsidR="00E95C49" w:rsidRPr="00612551" w:rsidRDefault="00E95C49" w:rsidP="00E95C49">
            <w:pPr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DRRC Crisis Facility</w:t>
            </w:r>
          </w:p>
        </w:tc>
        <w:tc>
          <w:tcPr>
            <w:tcW w:w="1335" w:type="dxa"/>
          </w:tcPr>
          <w:p w14:paraId="31747CEA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1435" w:type="dxa"/>
          </w:tcPr>
          <w:p w14:paraId="5CE8FC77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255" w:type="dxa"/>
          </w:tcPr>
          <w:p w14:paraId="712A4ACD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525" w:type="dxa"/>
          </w:tcPr>
          <w:p w14:paraId="7E84980D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45</w:t>
            </w:r>
          </w:p>
        </w:tc>
      </w:tr>
      <w:tr w:rsidR="00E95C49" w:rsidRPr="00612551" w14:paraId="374DDF32" w14:textId="77777777" w:rsidTr="00E95C49">
        <w:trPr>
          <w:trHeight w:val="252"/>
        </w:trPr>
        <w:tc>
          <w:tcPr>
            <w:tcW w:w="3772" w:type="dxa"/>
          </w:tcPr>
          <w:p w14:paraId="46963D9C" w14:textId="77777777" w:rsidR="00E95C49" w:rsidRPr="00612551" w:rsidRDefault="00E95C49" w:rsidP="00E95C49">
            <w:pPr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 xml:space="preserve">Durham County Detention Center </w:t>
            </w:r>
          </w:p>
        </w:tc>
        <w:tc>
          <w:tcPr>
            <w:tcW w:w="1335" w:type="dxa"/>
          </w:tcPr>
          <w:p w14:paraId="0CC651C2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435" w:type="dxa"/>
          </w:tcPr>
          <w:p w14:paraId="2F3B28EA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55" w:type="dxa"/>
          </w:tcPr>
          <w:p w14:paraId="0B9D5DA5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525" w:type="dxa"/>
          </w:tcPr>
          <w:p w14:paraId="2F1E451B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E95C49" w:rsidRPr="00612551" w14:paraId="5AB60E1C" w14:textId="77777777" w:rsidTr="00E95C49">
        <w:trPr>
          <w:trHeight w:val="252"/>
        </w:trPr>
        <w:tc>
          <w:tcPr>
            <w:tcW w:w="3772" w:type="dxa"/>
          </w:tcPr>
          <w:p w14:paraId="41785875" w14:textId="77777777" w:rsidR="00E95C49" w:rsidRPr="00612551" w:rsidRDefault="00E95C49" w:rsidP="00E95C49">
            <w:pPr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Duke University Hospital ED</w:t>
            </w:r>
          </w:p>
        </w:tc>
        <w:tc>
          <w:tcPr>
            <w:tcW w:w="1335" w:type="dxa"/>
          </w:tcPr>
          <w:p w14:paraId="40E64B6F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35" w:type="dxa"/>
          </w:tcPr>
          <w:p w14:paraId="5DE8AD60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55" w:type="dxa"/>
          </w:tcPr>
          <w:p w14:paraId="425023BA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14:paraId="177766F9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95C49" w:rsidRPr="00612551" w14:paraId="3635B0B6" w14:textId="77777777" w:rsidTr="00E95C49">
        <w:trPr>
          <w:trHeight w:val="252"/>
        </w:trPr>
        <w:tc>
          <w:tcPr>
            <w:tcW w:w="3772" w:type="dxa"/>
          </w:tcPr>
          <w:p w14:paraId="15483618" w14:textId="77777777" w:rsidR="00E95C49" w:rsidRPr="00612551" w:rsidRDefault="00E95C49" w:rsidP="00E95C4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Duke University Hospital Inpatients</w:t>
            </w:r>
          </w:p>
        </w:tc>
        <w:tc>
          <w:tcPr>
            <w:tcW w:w="1335" w:type="dxa"/>
          </w:tcPr>
          <w:p w14:paraId="0E4FFC1B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35" w:type="dxa"/>
          </w:tcPr>
          <w:p w14:paraId="2D8752EE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55" w:type="dxa"/>
          </w:tcPr>
          <w:p w14:paraId="3B853400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14:paraId="0028BF0B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95C49" w:rsidRPr="00612551" w14:paraId="623FD88C" w14:textId="77777777" w:rsidTr="00E95C49">
        <w:trPr>
          <w:trHeight w:val="252"/>
        </w:trPr>
        <w:tc>
          <w:tcPr>
            <w:tcW w:w="3772" w:type="dxa"/>
          </w:tcPr>
          <w:p w14:paraId="44C8F3EF" w14:textId="77777777" w:rsidR="00E95C49" w:rsidRPr="00612551" w:rsidRDefault="00E95C49" w:rsidP="00E95C4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Duke Regional Hospital ED</w:t>
            </w:r>
          </w:p>
        </w:tc>
        <w:tc>
          <w:tcPr>
            <w:tcW w:w="1335" w:type="dxa"/>
          </w:tcPr>
          <w:p w14:paraId="6C42FA6D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35" w:type="dxa"/>
          </w:tcPr>
          <w:p w14:paraId="608E294C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14:paraId="48D332A2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14:paraId="694A4B83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5C49" w:rsidRPr="00612551" w14:paraId="31CE2EDD" w14:textId="77777777" w:rsidTr="00E95C49">
        <w:trPr>
          <w:trHeight w:val="252"/>
        </w:trPr>
        <w:tc>
          <w:tcPr>
            <w:tcW w:w="3772" w:type="dxa"/>
          </w:tcPr>
          <w:p w14:paraId="46636BA5" w14:textId="77777777" w:rsidR="00E95C49" w:rsidRPr="00612551" w:rsidRDefault="00E95C49" w:rsidP="00E95C4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Duke Regional Hospital Inpatients</w:t>
            </w:r>
          </w:p>
        </w:tc>
        <w:tc>
          <w:tcPr>
            <w:tcW w:w="1335" w:type="dxa"/>
          </w:tcPr>
          <w:p w14:paraId="6F256B49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35" w:type="dxa"/>
          </w:tcPr>
          <w:p w14:paraId="0991C144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14:paraId="37AFF6FD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14:paraId="74A324F8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95C49" w:rsidRPr="00612551" w14:paraId="350AEAA6" w14:textId="77777777" w:rsidTr="00E95C49">
        <w:trPr>
          <w:trHeight w:val="252"/>
        </w:trPr>
        <w:tc>
          <w:tcPr>
            <w:tcW w:w="3772" w:type="dxa"/>
          </w:tcPr>
          <w:p w14:paraId="4DE895FF" w14:textId="77777777" w:rsidR="00E95C49" w:rsidRPr="00612551" w:rsidRDefault="00E95C49" w:rsidP="00E95C49">
            <w:pPr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Other (includes self-referrals)</w:t>
            </w:r>
          </w:p>
        </w:tc>
        <w:tc>
          <w:tcPr>
            <w:tcW w:w="1335" w:type="dxa"/>
          </w:tcPr>
          <w:p w14:paraId="6ECF3CF0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35" w:type="dxa"/>
          </w:tcPr>
          <w:p w14:paraId="1F61B335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55" w:type="dxa"/>
          </w:tcPr>
          <w:p w14:paraId="0224C103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525" w:type="dxa"/>
          </w:tcPr>
          <w:p w14:paraId="570D51E0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95C49" w:rsidRPr="00612551" w14:paraId="714D584B" w14:textId="77777777" w:rsidTr="00E95C49">
        <w:trPr>
          <w:trHeight w:val="242"/>
        </w:trPr>
        <w:tc>
          <w:tcPr>
            <w:tcW w:w="3772" w:type="dxa"/>
          </w:tcPr>
          <w:p w14:paraId="7ED8BED6" w14:textId="77777777" w:rsidR="00E95C49" w:rsidRPr="00612551" w:rsidRDefault="00E95C49" w:rsidP="00E95C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C1E2475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B697B24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8A5D75D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43E8F8" w14:textId="77777777" w:rsidR="00E95C49" w:rsidRPr="00612551" w:rsidRDefault="00E95C49" w:rsidP="00E95C4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95C49" w:rsidRPr="00612551" w14:paraId="4C3D5370" w14:textId="77777777" w:rsidTr="00E95C49">
        <w:trPr>
          <w:trHeight w:val="138"/>
        </w:trPr>
        <w:tc>
          <w:tcPr>
            <w:tcW w:w="3772" w:type="dxa"/>
          </w:tcPr>
          <w:p w14:paraId="3F412C28" w14:textId="77777777" w:rsidR="00E95C49" w:rsidRPr="00612551" w:rsidRDefault="00E95C49" w:rsidP="00E95C49">
            <w:pPr>
              <w:rPr>
                <w:rFonts w:cstheme="minorHAnsi"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Total Overall</w:t>
            </w:r>
          </w:p>
        </w:tc>
        <w:tc>
          <w:tcPr>
            <w:tcW w:w="1335" w:type="dxa"/>
          </w:tcPr>
          <w:p w14:paraId="4247DE90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1435" w:type="dxa"/>
          </w:tcPr>
          <w:p w14:paraId="5A320098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255" w:type="dxa"/>
          </w:tcPr>
          <w:p w14:paraId="4B4DAF98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525" w:type="dxa"/>
          </w:tcPr>
          <w:p w14:paraId="7E563507" w14:textId="77777777" w:rsidR="00E95C49" w:rsidRPr="00612551" w:rsidRDefault="00E95C49" w:rsidP="00E95C4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12551">
              <w:rPr>
                <w:rFonts w:cstheme="minorHAnsi"/>
                <w:b/>
                <w:bCs/>
                <w:sz w:val="20"/>
                <w:szCs w:val="20"/>
              </w:rPr>
              <w:t>153</w:t>
            </w:r>
          </w:p>
        </w:tc>
      </w:tr>
    </w:tbl>
    <w:p w14:paraId="661F9913" w14:textId="77777777" w:rsidR="00E95C49" w:rsidRPr="00612551" w:rsidRDefault="00E95C49" w:rsidP="00E95C49">
      <w:pPr>
        <w:rPr>
          <w:sz w:val="20"/>
          <w:szCs w:val="20"/>
        </w:rPr>
      </w:pPr>
      <w:r w:rsidRPr="00612551">
        <w:rPr>
          <w:b/>
          <w:bCs/>
          <w:sz w:val="20"/>
          <w:szCs w:val="20"/>
        </w:rPr>
        <w:br/>
      </w:r>
      <w:r w:rsidRPr="00612551">
        <w:rPr>
          <w:sz w:val="20"/>
          <w:szCs w:val="20"/>
        </w:rPr>
        <w:t xml:space="preserve">Program Totals: December 1, </w:t>
      </w:r>
      <w:proofErr w:type="gramStart"/>
      <w:r w:rsidRPr="00612551">
        <w:rPr>
          <w:sz w:val="20"/>
          <w:szCs w:val="20"/>
        </w:rPr>
        <w:t>2019</w:t>
      </w:r>
      <w:proofErr w:type="gramEnd"/>
      <w:r w:rsidRPr="00612551">
        <w:rPr>
          <w:sz w:val="20"/>
          <w:szCs w:val="20"/>
        </w:rPr>
        <w:t xml:space="preserve"> through June 30, 2022</w:t>
      </w:r>
    </w:p>
    <w:p w14:paraId="3C842069" w14:textId="77777777" w:rsidR="00612551" w:rsidRDefault="00612551" w:rsidP="0048256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4461AE6" w14:textId="33DC33F6" w:rsidR="002C7E22" w:rsidRDefault="0019529A" w:rsidP="0048256C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48256C">
        <w:rPr>
          <w:rFonts w:asciiTheme="majorHAnsi" w:hAnsiTheme="majorHAnsi" w:cstheme="majorHAnsi"/>
          <w:b/>
          <w:bCs/>
          <w:sz w:val="20"/>
          <w:szCs w:val="20"/>
        </w:rPr>
        <w:t>Data Presentation</w:t>
      </w:r>
    </w:p>
    <w:p w14:paraId="04C4AEF5" w14:textId="66CF2833" w:rsidR="00B06AD4" w:rsidRPr="007D58AF" w:rsidRDefault="008F138B" w:rsidP="0048256C">
      <w:pPr>
        <w:rPr>
          <w:rFonts w:asciiTheme="majorHAnsi" w:hAnsiTheme="majorHAnsi" w:cstheme="majorHAnsi"/>
          <w:sz w:val="20"/>
          <w:szCs w:val="20"/>
        </w:rPr>
      </w:pPr>
      <w:r w:rsidRPr="007D58AF">
        <w:rPr>
          <w:rFonts w:asciiTheme="majorHAnsi" w:hAnsiTheme="majorHAnsi" w:cstheme="majorHAnsi"/>
          <w:sz w:val="20"/>
          <w:szCs w:val="20"/>
        </w:rPr>
        <w:t>Ryan</w:t>
      </w:r>
      <w:r w:rsidR="0048256C" w:rsidRPr="007D58AF">
        <w:rPr>
          <w:rFonts w:asciiTheme="majorHAnsi" w:hAnsiTheme="majorHAnsi" w:cstheme="majorHAnsi"/>
          <w:sz w:val="20"/>
          <w:szCs w:val="20"/>
        </w:rPr>
        <w:t xml:space="preserve"> Bell presented his June 2022 Data Report for CLC. Ryan explained that they collect a baseline questionnaire when individuals initiate at DRRC. Additional information is collected at the 3</w:t>
      </w:r>
      <w:r w:rsidR="00B06AD4" w:rsidRPr="007D58AF">
        <w:rPr>
          <w:rFonts w:asciiTheme="majorHAnsi" w:hAnsiTheme="majorHAnsi" w:cstheme="majorHAnsi"/>
          <w:sz w:val="20"/>
          <w:szCs w:val="20"/>
        </w:rPr>
        <w:t>-</w:t>
      </w:r>
      <w:r w:rsidR="0048256C" w:rsidRPr="007D58AF">
        <w:rPr>
          <w:rFonts w:asciiTheme="majorHAnsi" w:hAnsiTheme="majorHAnsi" w:cstheme="majorHAnsi"/>
          <w:sz w:val="20"/>
          <w:szCs w:val="20"/>
        </w:rPr>
        <w:t xml:space="preserve">month and </w:t>
      </w:r>
      <w:r w:rsidR="00B06AD4" w:rsidRPr="007D58AF">
        <w:rPr>
          <w:rFonts w:asciiTheme="majorHAnsi" w:hAnsiTheme="majorHAnsi" w:cstheme="majorHAnsi"/>
          <w:sz w:val="20"/>
          <w:szCs w:val="20"/>
        </w:rPr>
        <w:t>12-month</w:t>
      </w:r>
      <w:r w:rsidR="0048256C" w:rsidRPr="007D58AF">
        <w:rPr>
          <w:rFonts w:asciiTheme="majorHAnsi" w:hAnsiTheme="majorHAnsi" w:cstheme="majorHAnsi"/>
          <w:sz w:val="20"/>
          <w:szCs w:val="20"/>
        </w:rPr>
        <w:t xml:space="preserve"> marks. </w:t>
      </w:r>
    </w:p>
    <w:p w14:paraId="52ABE46B" w14:textId="02E7FC16" w:rsidR="00821AA4" w:rsidRPr="007D58AF" w:rsidRDefault="0048256C" w:rsidP="0048256C">
      <w:pPr>
        <w:rPr>
          <w:rFonts w:asciiTheme="majorHAnsi" w:hAnsiTheme="majorHAnsi" w:cstheme="majorHAnsi"/>
          <w:sz w:val="20"/>
          <w:szCs w:val="20"/>
        </w:rPr>
      </w:pPr>
      <w:r w:rsidRPr="007D58AF">
        <w:rPr>
          <w:rFonts w:asciiTheme="majorHAnsi" w:hAnsiTheme="majorHAnsi" w:cstheme="majorHAnsi"/>
          <w:sz w:val="20"/>
          <w:szCs w:val="20"/>
        </w:rPr>
        <w:t>Ryan shared th</w:t>
      </w:r>
      <w:r w:rsidR="00B06AD4" w:rsidRPr="007D58AF">
        <w:rPr>
          <w:rFonts w:asciiTheme="majorHAnsi" w:hAnsiTheme="majorHAnsi" w:cstheme="majorHAnsi"/>
          <w:sz w:val="20"/>
          <w:szCs w:val="20"/>
        </w:rPr>
        <w:t xml:space="preserve">e </w:t>
      </w:r>
      <w:r w:rsidR="00F92F11">
        <w:rPr>
          <w:rFonts w:asciiTheme="majorHAnsi" w:hAnsiTheme="majorHAnsi" w:cstheme="majorHAnsi"/>
          <w:sz w:val="20"/>
          <w:szCs w:val="20"/>
        </w:rPr>
        <w:t>b</w:t>
      </w:r>
      <w:r w:rsidR="00A42491" w:rsidRPr="007D58AF">
        <w:rPr>
          <w:rFonts w:asciiTheme="majorHAnsi" w:hAnsiTheme="majorHAnsi" w:cstheme="majorHAnsi"/>
          <w:sz w:val="20"/>
          <w:szCs w:val="20"/>
        </w:rPr>
        <w:t xml:space="preserve">aseline </w:t>
      </w:r>
      <w:r w:rsidR="00BF2927">
        <w:rPr>
          <w:rFonts w:asciiTheme="majorHAnsi" w:hAnsiTheme="majorHAnsi" w:cstheme="majorHAnsi"/>
          <w:sz w:val="20"/>
          <w:szCs w:val="20"/>
        </w:rPr>
        <w:t>(</w:t>
      </w:r>
      <w:r w:rsidRPr="007D58AF">
        <w:rPr>
          <w:rFonts w:asciiTheme="majorHAnsi" w:hAnsiTheme="majorHAnsi" w:cstheme="majorHAnsi"/>
          <w:sz w:val="20"/>
          <w:szCs w:val="20"/>
        </w:rPr>
        <w:t>155 enrollee</w:t>
      </w:r>
      <w:r w:rsidR="00B06AD4" w:rsidRPr="007D58AF">
        <w:rPr>
          <w:rFonts w:asciiTheme="majorHAnsi" w:hAnsiTheme="majorHAnsi" w:cstheme="majorHAnsi"/>
          <w:sz w:val="20"/>
          <w:szCs w:val="20"/>
        </w:rPr>
        <w:t>s</w:t>
      </w:r>
      <w:r w:rsidR="00BF2927">
        <w:rPr>
          <w:rFonts w:asciiTheme="majorHAnsi" w:hAnsiTheme="majorHAnsi" w:cstheme="majorHAnsi"/>
          <w:sz w:val="20"/>
          <w:szCs w:val="20"/>
        </w:rPr>
        <w:t xml:space="preserve">), and </w:t>
      </w:r>
      <w:r w:rsidR="00BF2927" w:rsidRPr="007D58AF">
        <w:rPr>
          <w:rFonts w:asciiTheme="majorHAnsi" w:hAnsiTheme="majorHAnsi" w:cstheme="majorHAnsi"/>
          <w:sz w:val="20"/>
          <w:szCs w:val="20"/>
        </w:rPr>
        <w:t xml:space="preserve">3-Month </w:t>
      </w:r>
      <w:r w:rsidR="00BF2927">
        <w:rPr>
          <w:rFonts w:asciiTheme="majorHAnsi" w:hAnsiTheme="majorHAnsi" w:cstheme="majorHAnsi"/>
          <w:sz w:val="20"/>
          <w:szCs w:val="20"/>
        </w:rPr>
        <w:t>F</w:t>
      </w:r>
      <w:r w:rsidR="00BF2927" w:rsidRPr="007D58AF">
        <w:rPr>
          <w:rFonts w:asciiTheme="majorHAnsi" w:hAnsiTheme="majorHAnsi" w:cstheme="majorHAnsi"/>
          <w:sz w:val="20"/>
          <w:szCs w:val="20"/>
        </w:rPr>
        <w:t>ollow-</w:t>
      </w:r>
      <w:r w:rsidR="00BF2927">
        <w:rPr>
          <w:rFonts w:asciiTheme="majorHAnsi" w:hAnsiTheme="majorHAnsi" w:cstheme="majorHAnsi"/>
          <w:sz w:val="20"/>
          <w:szCs w:val="20"/>
        </w:rPr>
        <w:t>U</w:t>
      </w:r>
      <w:r w:rsidR="00BF2927" w:rsidRPr="007D58AF">
        <w:rPr>
          <w:rFonts w:asciiTheme="majorHAnsi" w:hAnsiTheme="majorHAnsi" w:cstheme="majorHAnsi"/>
          <w:sz w:val="20"/>
          <w:szCs w:val="20"/>
        </w:rPr>
        <w:t>p</w:t>
      </w:r>
      <w:r w:rsidR="00BF2927">
        <w:rPr>
          <w:rFonts w:asciiTheme="majorHAnsi" w:hAnsiTheme="majorHAnsi" w:cstheme="majorHAnsi"/>
          <w:sz w:val="20"/>
          <w:szCs w:val="20"/>
        </w:rPr>
        <w:t xml:space="preserve"> data</w:t>
      </w:r>
      <w:r w:rsidR="00BF2927" w:rsidRPr="007D58AF">
        <w:rPr>
          <w:rFonts w:asciiTheme="majorHAnsi" w:hAnsiTheme="majorHAnsi" w:cstheme="majorHAnsi"/>
          <w:sz w:val="20"/>
          <w:szCs w:val="20"/>
        </w:rPr>
        <w:t xml:space="preserve"> </w:t>
      </w:r>
      <w:r w:rsidR="00BF2927">
        <w:rPr>
          <w:rFonts w:asciiTheme="majorHAnsi" w:hAnsiTheme="majorHAnsi" w:cstheme="majorHAnsi"/>
          <w:sz w:val="20"/>
          <w:szCs w:val="20"/>
        </w:rPr>
        <w:t>(</w:t>
      </w:r>
      <w:r w:rsidR="00BF2927" w:rsidRPr="007D58AF">
        <w:rPr>
          <w:rFonts w:asciiTheme="majorHAnsi" w:hAnsiTheme="majorHAnsi" w:cstheme="majorHAnsi"/>
          <w:sz w:val="20"/>
          <w:szCs w:val="20"/>
        </w:rPr>
        <w:t xml:space="preserve">of the 155 enrollees </w:t>
      </w:r>
      <w:r w:rsidR="00BF2927" w:rsidRPr="008708FF">
        <w:rPr>
          <w:rFonts w:asciiTheme="majorHAnsi" w:hAnsiTheme="majorHAnsi" w:cstheme="majorHAnsi"/>
          <w:sz w:val="20"/>
          <w:szCs w:val="20"/>
        </w:rPr>
        <w:t>34 were discharged before 3 months, 4 less than 3 months past enrollment date and 117 were eligible for follow-up</w:t>
      </w:r>
      <w:r w:rsidR="00273410">
        <w:rPr>
          <w:rFonts w:asciiTheme="majorHAnsi" w:hAnsiTheme="majorHAnsi" w:cstheme="majorHAnsi"/>
          <w:sz w:val="20"/>
          <w:szCs w:val="20"/>
        </w:rPr>
        <w:t>.</w:t>
      </w:r>
      <w:r w:rsidR="00BF2927" w:rsidRPr="008708FF">
        <w:rPr>
          <w:rFonts w:asciiTheme="majorHAnsi" w:hAnsiTheme="majorHAnsi" w:cstheme="majorHAnsi"/>
          <w:sz w:val="20"/>
          <w:szCs w:val="20"/>
        </w:rPr>
        <w:t xml:space="preserve"> </w:t>
      </w:r>
      <w:r w:rsidR="00273410">
        <w:rPr>
          <w:rFonts w:asciiTheme="majorHAnsi" w:hAnsiTheme="majorHAnsi" w:cstheme="majorHAnsi"/>
          <w:sz w:val="20"/>
          <w:szCs w:val="20"/>
        </w:rPr>
        <w:t>T</w:t>
      </w:r>
      <w:r w:rsidR="00BF2927" w:rsidRPr="008708FF">
        <w:rPr>
          <w:rFonts w:asciiTheme="majorHAnsi" w:hAnsiTheme="majorHAnsi" w:cstheme="majorHAnsi"/>
          <w:sz w:val="20"/>
          <w:szCs w:val="20"/>
        </w:rPr>
        <w:t>hey were able to complete follow-ups for 35% of the eligible individuals</w:t>
      </w:r>
      <w:r w:rsidR="00BF2927">
        <w:rPr>
          <w:rFonts w:asciiTheme="majorHAnsi" w:hAnsiTheme="majorHAnsi" w:cstheme="majorHAnsi"/>
          <w:sz w:val="20"/>
          <w:szCs w:val="20"/>
        </w:rPr>
        <w:t>)</w:t>
      </w:r>
      <w:r w:rsidR="00BF2927" w:rsidRPr="008708FF">
        <w:rPr>
          <w:rFonts w:asciiTheme="majorHAnsi" w:hAnsiTheme="majorHAnsi" w:cstheme="majorHAnsi"/>
          <w:sz w:val="20"/>
          <w:szCs w:val="20"/>
        </w:rPr>
        <w:t xml:space="preserve">. </w:t>
      </w:r>
      <w:r w:rsidR="00821AA4" w:rsidRPr="007D58AF">
        <w:rPr>
          <w:rFonts w:asciiTheme="majorHAnsi" w:hAnsiTheme="majorHAnsi" w:cstheme="majorHAnsi"/>
          <w:sz w:val="20"/>
          <w:szCs w:val="20"/>
        </w:rPr>
        <w:t xml:space="preserve">It was shared that 12-month data is still being collected, </w:t>
      </w:r>
      <w:r w:rsidR="00821AA4" w:rsidRPr="007D58AF">
        <w:rPr>
          <w:rFonts w:asciiTheme="majorHAnsi" w:hAnsiTheme="majorHAnsi" w:cstheme="majorHAnsi"/>
          <w:sz w:val="20"/>
          <w:szCs w:val="20"/>
        </w:rPr>
        <w:lastRenderedPageBreak/>
        <w:t>more in-depth and clear data will be presented in the coming month</w:t>
      </w:r>
      <w:r w:rsidR="008708FF">
        <w:rPr>
          <w:rFonts w:asciiTheme="majorHAnsi" w:hAnsiTheme="majorHAnsi" w:cstheme="majorHAnsi"/>
          <w:sz w:val="20"/>
          <w:szCs w:val="20"/>
        </w:rPr>
        <w:t>s</w:t>
      </w:r>
      <w:r w:rsidR="00821AA4" w:rsidRPr="007D58AF">
        <w:rPr>
          <w:rFonts w:asciiTheme="majorHAnsi" w:hAnsiTheme="majorHAnsi" w:cstheme="majorHAnsi"/>
          <w:sz w:val="20"/>
          <w:szCs w:val="20"/>
        </w:rPr>
        <w:t xml:space="preserve">. At the time of reporting 78% were still using MAT and it was noted that fear of </w:t>
      </w:r>
      <w:r w:rsidR="00F92F11" w:rsidRPr="007D58AF">
        <w:rPr>
          <w:rFonts w:asciiTheme="majorHAnsi" w:hAnsiTheme="majorHAnsi" w:cstheme="majorHAnsi"/>
          <w:sz w:val="20"/>
          <w:szCs w:val="20"/>
        </w:rPr>
        <w:t>losing</w:t>
      </w:r>
      <w:r w:rsidR="00821AA4" w:rsidRPr="007D58AF">
        <w:rPr>
          <w:rFonts w:asciiTheme="majorHAnsi" w:hAnsiTheme="majorHAnsi" w:cstheme="majorHAnsi"/>
          <w:sz w:val="20"/>
          <w:szCs w:val="20"/>
        </w:rPr>
        <w:t xml:space="preserve"> housing will always be a concern.</w:t>
      </w:r>
      <w:r w:rsidR="00BF2927">
        <w:rPr>
          <w:rFonts w:asciiTheme="majorHAnsi" w:hAnsiTheme="majorHAnsi" w:cstheme="majorHAnsi"/>
          <w:sz w:val="20"/>
          <w:szCs w:val="20"/>
        </w:rPr>
        <w:t xml:space="preserve"> Please refer to the full presentation for details. </w:t>
      </w:r>
    </w:p>
    <w:p w14:paraId="5C9C4453" w14:textId="5B4F5D36" w:rsidR="00B06AD4" w:rsidRPr="002C7E22" w:rsidRDefault="00B364E2" w:rsidP="0048256C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7D58AF">
        <w:rPr>
          <w:rFonts w:asciiTheme="majorHAnsi" w:hAnsiTheme="majorHAnsi" w:cstheme="majorHAnsi"/>
          <w:sz w:val="20"/>
          <w:szCs w:val="20"/>
        </w:rPr>
        <w:t>There were many inquiries about additional data from committee members and both Laci</w:t>
      </w:r>
      <w:r w:rsidR="008708FF">
        <w:rPr>
          <w:rFonts w:asciiTheme="majorHAnsi" w:hAnsiTheme="majorHAnsi" w:cstheme="majorHAnsi"/>
          <w:sz w:val="20"/>
          <w:szCs w:val="20"/>
        </w:rPr>
        <w:t>e</w:t>
      </w:r>
      <w:r w:rsidRPr="007D58AF">
        <w:rPr>
          <w:rFonts w:asciiTheme="majorHAnsi" w:hAnsiTheme="majorHAnsi" w:cstheme="majorHAnsi"/>
          <w:sz w:val="20"/>
          <w:szCs w:val="20"/>
        </w:rPr>
        <w:t xml:space="preserve"> and Ryan agreed to bring additional </w:t>
      </w:r>
      <w:r w:rsidR="008708FF">
        <w:rPr>
          <w:rFonts w:asciiTheme="majorHAnsi" w:hAnsiTheme="majorHAnsi" w:cstheme="majorHAnsi"/>
          <w:sz w:val="20"/>
          <w:szCs w:val="20"/>
        </w:rPr>
        <w:t>d</w:t>
      </w:r>
      <w:r w:rsidRPr="007D58AF">
        <w:rPr>
          <w:rFonts w:asciiTheme="majorHAnsi" w:hAnsiTheme="majorHAnsi" w:cstheme="majorHAnsi"/>
          <w:sz w:val="20"/>
          <w:szCs w:val="20"/>
        </w:rPr>
        <w:t xml:space="preserve">ata to the </w:t>
      </w:r>
      <w:r w:rsidR="008708FF">
        <w:rPr>
          <w:rFonts w:asciiTheme="majorHAnsi" w:hAnsiTheme="majorHAnsi" w:cstheme="majorHAnsi"/>
          <w:sz w:val="20"/>
          <w:szCs w:val="20"/>
        </w:rPr>
        <w:t>group</w:t>
      </w:r>
      <w:r w:rsidRPr="007D58AF">
        <w:rPr>
          <w:rFonts w:asciiTheme="majorHAnsi" w:hAnsiTheme="majorHAnsi" w:cstheme="majorHAnsi"/>
          <w:sz w:val="20"/>
          <w:szCs w:val="20"/>
        </w:rPr>
        <w:t>.</w:t>
      </w:r>
      <w:r w:rsidR="008708FF">
        <w:rPr>
          <w:rFonts w:asciiTheme="majorHAnsi" w:hAnsiTheme="majorHAnsi" w:cstheme="majorHAnsi"/>
          <w:sz w:val="20"/>
          <w:szCs w:val="20"/>
        </w:rPr>
        <w:t xml:space="preserve"> </w:t>
      </w:r>
      <w:r w:rsidR="00821AA4">
        <w:rPr>
          <w:rFonts w:asciiTheme="majorHAnsi" w:hAnsiTheme="majorHAnsi" w:cstheme="majorHAnsi"/>
          <w:sz w:val="20"/>
          <w:szCs w:val="20"/>
        </w:rPr>
        <w:t xml:space="preserve">Carlyle asked </w:t>
      </w:r>
      <w:r w:rsidR="007D58AF">
        <w:rPr>
          <w:rFonts w:asciiTheme="majorHAnsi" w:hAnsiTheme="majorHAnsi" w:cstheme="majorHAnsi"/>
          <w:sz w:val="20"/>
          <w:szCs w:val="20"/>
        </w:rPr>
        <w:t xml:space="preserve">if most individuals are uninsured and what gaps were noted- it was noted that individuals that struggle with substance use they are more transient, and Medicaid takes time to transfer, and this slows treatment. Most individuals are uninsured. </w:t>
      </w:r>
    </w:p>
    <w:p w14:paraId="1AB14CDD" w14:textId="0082B264" w:rsidR="002C7E22" w:rsidRPr="008708FF" w:rsidRDefault="0019529A" w:rsidP="00E95C49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8708FF">
        <w:rPr>
          <w:rFonts w:asciiTheme="majorHAnsi" w:hAnsiTheme="majorHAnsi" w:cstheme="majorHAnsi"/>
          <w:b/>
          <w:bCs/>
          <w:sz w:val="20"/>
          <w:szCs w:val="20"/>
          <w:u w:val="single"/>
        </w:rPr>
        <w:t>EMS, Community Paramedics</w:t>
      </w:r>
    </w:p>
    <w:p w14:paraId="310248B9" w14:textId="77777777" w:rsidR="002C7E22" w:rsidRDefault="002C7E22" w:rsidP="00E95C49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2692BA0" w14:textId="4570B503" w:rsidR="0019529A" w:rsidRDefault="007D58AF" w:rsidP="00E95C4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D58AF">
        <w:rPr>
          <w:rFonts w:asciiTheme="majorHAnsi" w:hAnsiTheme="majorHAnsi" w:cstheme="majorHAnsi"/>
          <w:sz w:val="20"/>
          <w:szCs w:val="20"/>
        </w:rPr>
        <w:t>Helen Tripp shared that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they are still averaging 75 overdoses a month and they continue to partner with CLC. Helen shared that they had applied for the Addiction and Recovery Act grant and </w:t>
      </w:r>
      <w:r w:rsidR="008708FF">
        <w:rPr>
          <w:rFonts w:asciiTheme="majorHAnsi" w:hAnsiTheme="majorHAnsi" w:cstheme="majorHAnsi"/>
          <w:sz w:val="20"/>
          <w:szCs w:val="20"/>
        </w:rPr>
        <w:t xml:space="preserve">received the </w:t>
      </w:r>
      <w:r>
        <w:rPr>
          <w:rFonts w:asciiTheme="majorHAnsi" w:hAnsiTheme="majorHAnsi" w:cstheme="majorHAnsi"/>
          <w:sz w:val="20"/>
          <w:szCs w:val="20"/>
        </w:rPr>
        <w:t>award on July 29. The purpose of this grant is two-fold</w:t>
      </w:r>
      <w:r w:rsidR="008708FF">
        <w:rPr>
          <w:rFonts w:asciiTheme="majorHAnsi" w:hAnsiTheme="majorHAnsi" w:cstheme="majorHAnsi"/>
          <w:sz w:val="20"/>
          <w:szCs w:val="20"/>
        </w:rPr>
        <w:t>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34856">
        <w:rPr>
          <w:rFonts w:asciiTheme="majorHAnsi" w:hAnsiTheme="majorHAnsi" w:cstheme="majorHAnsi"/>
          <w:sz w:val="20"/>
          <w:szCs w:val="20"/>
        </w:rPr>
        <w:t>t</w:t>
      </w:r>
      <w:r>
        <w:rPr>
          <w:rFonts w:asciiTheme="majorHAnsi" w:hAnsiTheme="majorHAnsi" w:cstheme="majorHAnsi"/>
          <w:sz w:val="20"/>
          <w:szCs w:val="20"/>
        </w:rPr>
        <w:t>he primary goal is to supply the community with more harm reduction materials</w:t>
      </w:r>
      <w:r w:rsidR="00734856">
        <w:rPr>
          <w:rFonts w:asciiTheme="majorHAnsi" w:hAnsiTheme="majorHAnsi" w:cstheme="majorHAnsi"/>
          <w:sz w:val="20"/>
          <w:szCs w:val="20"/>
        </w:rPr>
        <w:t>, t</w:t>
      </w:r>
      <w:r>
        <w:rPr>
          <w:rFonts w:asciiTheme="majorHAnsi" w:hAnsiTheme="majorHAnsi" w:cstheme="majorHAnsi"/>
          <w:sz w:val="20"/>
          <w:szCs w:val="20"/>
        </w:rPr>
        <w:t xml:space="preserve">hey also intend to actively look for community organizations that encounter individuals who overdose. In </w:t>
      </w:r>
      <w:r w:rsidR="00734856">
        <w:rPr>
          <w:rFonts w:asciiTheme="majorHAnsi" w:hAnsiTheme="majorHAnsi" w:cstheme="majorHAnsi"/>
          <w:sz w:val="20"/>
          <w:szCs w:val="20"/>
        </w:rPr>
        <w:t>Y</w:t>
      </w:r>
      <w:r>
        <w:rPr>
          <w:rFonts w:asciiTheme="majorHAnsi" w:hAnsiTheme="majorHAnsi" w:cstheme="majorHAnsi"/>
          <w:sz w:val="20"/>
          <w:szCs w:val="20"/>
        </w:rPr>
        <w:t>ear 2</w:t>
      </w:r>
      <w:r w:rsidR="00734856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paramedics will be initiating the use of suboxone in the field and continue to follow up for 6 days while connecting them to community resources for continued </w:t>
      </w:r>
      <w:r w:rsidR="00734856">
        <w:rPr>
          <w:rFonts w:asciiTheme="majorHAnsi" w:hAnsiTheme="majorHAnsi" w:cstheme="majorHAnsi"/>
          <w:sz w:val="20"/>
          <w:szCs w:val="20"/>
        </w:rPr>
        <w:t>t</w:t>
      </w:r>
      <w:r>
        <w:rPr>
          <w:rFonts w:asciiTheme="majorHAnsi" w:hAnsiTheme="majorHAnsi" w:cstheme="majorHAnsi"/>
          <w:sz w:val="20"/>
          <w:szCs w:val="20"/>
        </w:rPr>
        <w:t>reatment.</w:t>
      </w:r>
    </w:p>
    <w:p w14:paraId="609E5649" w14:textId="6207E96D" w:rsidR="007D58AF" w:rsidRDefault="007D58AF" w:rsidP="00E95C4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Helen shared that additionally they have applied for the MAT EMS Bridge Grant. They will hear back </w:t>
      </w:r>
      <w:r w:rsidR="002C7E22">
        <w:rPr>
          <w:rFonts w:asciiTheme="majorHAnsi" w:hAnsiTheme="majorHAnsi" w:cstheme="majorHAnsi"/>
          <w:sz w:val="20"/>
          <w:szCs w:val="20"/>
        </w:rPr>
        <w:t xml:space="preserve">in reference to this soon and will update accordingly. </w:t>
      </w:r>
    </w:p>
    <w:p w14:paraId="6492DA47" w14:textId="77777777" w:rsidR="002C7E22" w:rsidRPr="007D58AF" w:rsidRDefault="002C7E22" w:rsidP="00E95C4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C97AA37" w14:textId="77777777" w:rsidR="00734856" w:rsidRDefault="00734856" w:rsidP="0019529A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61F36032" w14:textId="77777777" w:rsidR="00734856" w:rsidRDefault="00734856" w:rsidP="0019529A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37D855CE" w14:textId="5169C690" w:rsidR="0019529A" w:rsidRPr="00734856" w:rsidRDefault="0019529A" w:rsidP="0019529A">
      <w:pPr>
        <w:spacing w:after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734856">
        <w:rPr>
          <w:rFonts w:asciiTheme="majorHAnsi" w:hAnsiTheme="majorHAnsi" w:cstheme="majorHAnsi"/>
          <w:b/>
          <w:bCs/>
          <w:sz w:val="20"/>
          <w:szCs w:val="20"/>
          <w:u w:val="single"/>
        </w:rPr>
        <w:t>Clinical Addiction Professional Services (CAPS)</w:t>
      </w:r>
    </w:p>
    <w:p w14:paraId="5FEDBA94" w14:textId="3E1B9FE6" w:rsidR="002C7E22" w:rsidRDefault="002C7E22" w:rsidP="0019529A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4D2161E" w14:textId="5E6695CB" w:rsidR="002C7E22" w:rsidRPr="002C7E22" w:rsidRDefault="002C7E22" w:rsidP="0019529A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Stephen</w:t>
      </w:r>
      <w:r w:rsidR="0073485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34856">
        <w:rPr>
          <w:rFonts w:asciiTheme="majorHAnsi" w:hAnsiTheme="majorHAnsi" w:cstheme="majorHAnsi"/>
          <w:sz w:val="20"/>
          <w:szCs w:val="20"/>
        </w:rPr>
        <w:t>Loney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shared that September is Recovery Month and</w:t>
      </w:r>
      <w:r w:rsidR="00CC15D7">
        <w:rPr>
          <w:rFonts w:asciiTheme="majorHAnsi" w:hAnsiTheme="majorHAnsi" w:cstheme="majorHAnsi"/>
          <w:sz w:val="20"/>
          <w:szCs w:val="20"/>
        </w:rPr>
        <w:t xml:space="preserve"> Recovery C</w:t>
      </w:r>
      <w:r w:rsidR="00734856">
        <w:rPr>
          <w:rFonts w:asciiTheme="majorHAnsi" w:hAnsiTheme="majorHAnsi" w:cstheme="majorHAnsi"/>
          <w:sz w:val="20"/>
          <w:szCs w:val="20"/>
        </w:rPr>
        <w:t>ommunity</w:t>
      </w:r>
      <w:r w:rsidR="00CC15D7">
        <w:rPr>
          <w:rFonts w:asciiTheme="majorHAnsi" w:hAnsiTheme="majorHAnsi" w:cstheme="majorHAnsi"/>
          <w:sz w:val="20"/>
          <w:szCs w:val="20"/>
        </w:rPr>
        <w:t xml:space="preserve"> of Durham is </w:t>
      </w:r>
      <w:r>
        <w:rPr>
          <w:rFonts w:asciiTheme="majorHAnsi" w:hAnsiTheme="majorHAnsi" w:cstheme="majorHAnsi"/>
          <w:sz w:val="20"/>
          <w:szCs w:val="20"/>
        </w:rPr>
        <w:t xml:space="preserve">highlighting the positive side of recovery. </w:t>
      </w:r>
      <w:r w:rsidR="00734856">
        <w:rPr>
          <w:rFonts w:asciiTheme="majorHAnsi" w:hAnsiTheme="majorHAnsi" w:cstheme="majorHAnsi"/>
          <w:sz w:val="20"/>
          <w:szCs w:val="20"/>
        </w:rPr>
        <w:t>RCOD</w:t>
      </w:r>
      <w:r>
        <w:rPr>
          <w:rFonts w:asciiTheme="majorHAnsi" w:hAnsiTheme="majorHAnsi" w:cstheme="majorHAnsi"/>
          <w:sz w:val="20"/>
          <w:szCs w:val="20"/>
        </w:rPr>
        <w:t xml:space="preserve"> will host an event on September 16 </w:t>
      </w:r>
      <w:r w:rsidR="00CC15D7">
        <w:rPr>
          <w:rFonts w:asciiTheme="majorHAnsi" w:hAnsiTheme="majorHAnsi" w:cstheme="majorHAnsi"/>
          <w:sz w:val="20"/>
          <w:szCs w:val="20"/>
        </w:rPr>
        <w:t xml:space="preserve">at City Park in </w:t>
      </w:r>
      <w:r w:rsidR="00734856">
        <w:rPr>
          <w:rFonts w:asciiTheme="majorHAnsi" w:hAnsiTheme="majorHAnsi" w:cstheme="majorHAnsi"/>
          <w:sz w:val="20"/>
          <w:szCs w:val="20"/>
        </w:rPr>
        <w:t>D</w:t>
      </w:r>
      <w:r>
        <w:rPr>
          <w:rFonts w:asciiTheme="majorHAnsi" w:hAnsiTheme="majorHAnsi" w:cstheme="majorHAnsi"/>
          <w:sz w:val="20"/>
          <w:szCs w:val="20"/>
        </w:rPr>
        <w:t xml:space="preserve">owntown Durham. Stephen shared </w:t>
      </w:r>
      <w:r w:rsidR="00734856">
        <w:rPr>
          <w:rFonts w:asciiTheme="majorHAnsi" w:hAnsiTheme="majorHAnsi" w:cstheme="majorHAnsi"/>
          <w:sz w:val="20"/>
          <w:szCs w:val="20"/>
        </w:rPr>
        <w:t>the</w:t>
      </w:r>
      <w:r>
        <w:rPr>
          <w:rFonts w:asciiTheme="majorHAnsi" w:hAnsiTheme="majorHAnsi" w:cstheme="majorHAnsi"/>
          <w:sz w:val="20"/>
          <w:szCs w:val="20"/>
        </w:rPr>
        <w:t xml:space="preserve"> need for more members of the community who are willing to work with individuals in recovery. </w:t>
      </w:r>
    </w:p>
    <w:p w14:paraId="01609C9A" w14:textId="77777777" w:rsidR="0019529A" w:rsidRPr="0048256C" w:rsidRDefault="0019529A" w:rsidP="0019529A">
      <w:pPr>
        <w:pStyle w:val="ListParagraph"/>
        <w:spacing w:after="0" w:line="240" w:lineRule="auto"/>
        <w:contextualSpacing w:val="0"/>
        <w:rPr>
          <w:rFonts w:asciiTheme="majorHAnsi" w:hAnsiTheme="majorHAnsi" w:cstheme="majorHAnsi"/>
          <w:sz w:val="20"/>
          <w:szCs w:val="20"/>
        </w:rPr>
      </w:pPr>
    </w:p>
    <w:p w14:paraId="72646E79" w14:textId="6FEB38EC" w:rsidR="0019529A" w:rsidRPr="0048256C" w:rsidRDefault="0019529A" w:rsidP="0019529A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8256C">
        <w:rPr>
          <w:rFonts w:asciiTheme="majorHAnsi" w:hAnsiTheme="majorHAnsi" w:cstheme="majorHAnsi"/>
          <w:b/>
          <w:sz w:val="20"/>
          <w:szCs w:val="20"/>
          <w:u w:val="single"/>
        </w:rPr>
        <w:t>Program Updates</w:t>
      </w:r>
    </w:p>
    <w:p w14:paraId="70DD2B62" w14:textId="3693AD03" w:rsidR="00CC15D7" w:rsidRPr="00CC15D7" w:rsidRDefault="0019529A" w:rsidP="0019529A">
      <w:pPr>
        <w:rPr>
          <w:rFonts w:asciiTheme="majorHAnsi" w:hAnsiTheme="majorHAnsi" w:cstheme="majorHAnsi"/>
          <w:bCs/>
          <w:sz w:val="20"/>
          <w:szCs w:val="20"/>
        </w:rPr>
      </w:pPr>
      <w:r w:rsidRPr="0048256C">
        <w:rPr>
          <w:rFonts w:asciiTheme="majorHAnsi" w:hAnsiTheme="majorHAnsi" w:cstheme="majorHAnsi"/>
          <w:b/>
          <w:sz w:val="20"/>
          <w:szCs w:val="20"/>
        </w:rPr>
        <w:t>PSS Services at Duke University Hospital</w:t>
      </w:r>
      <w:r w:rsidR="00CC15D7">
        <w:rPr>
          <w:rFonts w:asciiTheme="majorHAnsi" w:hAnsiTheme="majorHAnsi" w:cstheme="majorHAnsi"/>
          <w:b/>
          <w:sz w:val="20"/>
          <w:szCs w:val="20"/>
        </w:rPr>
        <w:t xml:space="preserve"> and </w:t>
      </w:r>
      <w:r w:rsidRPr="0048256C">
        <w:rPr>
          <w:rFonts w:asciiTheme="majorHAnsi" w:hAnsiTheme="majorHAnsi" w:cstheme="majorHAnsi"/>
          <w:b/>
          <w:sz w:val="20"/>
          <w:szCs w:val="20"/>
        </w:rPr>
        <w:t>PSS Services at Duke Regional Hospital</w:t>
      </w:r>
      <w:r w:rsidR="00734856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CC15D7">
        <w:rPr>
          <w:rFonts w:asciiTheme="majorHAnsi" w:hAnsiTheme="majorHAnsi" w:cstheme="majorHAnsi"/>
          <w:bCs/>
          <w:sz w:val="20"/>
          <w:szCs w:val="20"/>
        </w:rPr>
        <w:t>They are continuing t</w:t>
      </w:r>
      <w:r w:rsidR="00734856">
        <w:rPr>
          <w:rFonts w:asciiTheme="majorHAnsi" w:hAnsiTheme="majorHAnsi" w:cstheme="majorHAnsi"/>
          <w:bCs/>
          <w:sz w:val="20"/>
          <w:szCs w:val="20"/>
        </w:rPr>
        <w:t>o</w:t>
      </w:r>
      <w:r w:rsidR="00CC15D7">
        <w:rPr>
          <w:rFonts w:asciiTheme="majorHAnsi" w:hAnsiTheme="majorHAnsi" w:cstheme="majorHAnsi"/>
          <w:bCs/>
          <w:sz w:val="20"/>
          <w:szCs w:val="20"/>
        </w:rPr>
        <w:t xml:space="preserve"> focus on program growth as well as adding a clinician and physician.</w:t>
      </w:r>
    </w:p>
    <w:p w14:paraId="1522B67E" w14:textId="216C7C1A" w:rsidR="00CC15D7" w:rsidRPr="00CC15D7" w:rsidRDefault="0019529A" w:rsidP="0019529A">
      <w:pPr>
        <w:rPr>
          <w:rFonts w:asciiTheme="majorHAnsi" w:hAnsiTheme="majorHAnsi" w:cstheme="majorHAnsi"/>
          <w:bCs/>
          <w:sz w:val="20"/>
          <w:szCs w:val="20"/>
        </w:rPr>
      </w:pPr>
      <w:r w:rsidRPr="0048256C">
        <w:rPr>
          <w:rFonts w:asciiTheme="majorHAnsi" w:hAnsiTheme="majorHAnsi" w:cstheme="majorHAnsi"/>
          <w:b/>
          <w:sz w:val="20"/>
          <w:szCs w:val="20"/>
        </w:rPr>
        <w:t>Detention Center MAT Program</w:t>
      </w:r>
      <w:r w:rsidR="00734856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734856" w:rsidRPr="00734856">
        <w:rPr>
          <w:rFonts w:asciiTheme="majorHAnsi" w:hAnsiTheme="majorHAnsi" w:cstheme="majorHAnsi"/>
          <w:bCs/>
          <w:sz w:val="20"/>
          <w:szCs w:val="20"/>
        </w:rPr>
        <w:t>Tammy Vaughan stated</w:t>
      </w:r>
      <w:r w:rsidR="0073485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C15D7" w:rsidRPr="00CC15D7">
        <w:rPr>
          <w:rFonts w:asciiTheme="majorHAnsi" w:hAnsiTheme="majorHAnsi" w:cstheme="majorHAnsi"/>
          <w:bCs/>
          <w:sz w:val="20"/>
          <w:szCs w:val="20"/>
        </w:rPr>
        <w:t xml:space="preserve">Phase 1 has </w:t>
      </w:r>
      <w:r w:rsidR="00734856">
        <w:rPr>
          <w:rFonts w:asciiTheme="majorHAnsi" w:hAnsiTheme="majorHAnsi" w:cstheme="majorHAnsi"/>
          <w:bCs/>
          <w:sz w:val="20"/>
          <w:szCs w:val="20"/>
        </w:rPr>
        <w:t xml:space="preserve">served </w:t>
      </w:r>
      <w:r w:rsidR="00CC15D7" w:rsidRPr="00CC15D7">
        <w:rPr>
          <w:rFonts w:asciiTheme="majorHAnsi" w:hAnsiTheme="majorHAnsi" w:cstheme="majorHAnsi"/>
          <w:bCs/>
          <w:sz w:val="20"/>
          <w:szCs w:val="20"/>
        </w:rPr>
        <w:t>143 on suboxone and 75 on methadone</w:t>
      </w:r>
      <w:r w:rsidR="00734856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CC15D7" w:rsidRPr="00CC15D7">
        <w:rPr>
          <w:rFonts w:asciiTheme="majorHAnsi" w:hAnsiTheme="majorHAnsi" w:cstheme="majorHAnsi"/>
          <w:bCs/>
          <w:sz w:val="20"/>
          <w:szCs w:val="20"/>
        </w:rPr>
        <w:t xml:space="preserve">Phase 2 has </w:t>
      </w:r>
      <w:r w:rsidR="00734856">
        <w:rPr>
          <w:rFonts w:asciiTheme="majorHAnsi" w:hAnsiTheme="majorHAnsi" w:cstheme="majorHAnsi"/>
          <w:bCs/>
          <w:sz w:val="20"/>
          <w:szCs w:val="20"/>
        </w:rPr>
        <w:t xml:space="preserve">served </w:t>
      </w:r>
      <w:r w:rsidR="00CC15D7" w:rsidRPr="00CC15D7">
        <w:rPr>
          <w:rFonts w:asciiTheme="majorHAnsi" w:hAnsiTheme="majorHAnsi" w:cstheme="majorHAnsi"/>
          <w:bCs/>
          <w:sz w:val="20"/>
          <w:szCs w:val="20"/>
        </w:rPr>
        <w:t xml:space="preserve">36 on suboxone, 21 are men and 15 are women. The detention </w:t>
      </w:r>
      <w:r w:rsidR="00734856">
        <w:rPr>
          <w:rFonts w:asciiTheme="majorHAnsi" w:hAnsiTheme="majorHAnsi" w:cstheme="majorHAnsi"/>
          <w:bCs/>
          <w:sz w:val="20"/>
          <w:szCs w:val="20"/>
        </w:rPr>
        <w:t xml:space="preserve">center </w:t>
      </w:r>
      <w:r w:rsidR="00CC15D7" w:rsidRPr="00CC15D7">
        <w:rPr>
          <w:rFonts w:asciiTheme="majorHAnsi" w:hAnsiTheme="majorHAnsi" w:cstheme="majorHAnsi"/>
          <w:bCs/>
          <w:sz w:val="20"/>
          <w:szCs w:val="20"/>
        </w:rPr>
        <w:t>currently has 14 on suboxone and 4 on</w:t>
      </w:r>
      <w:r w:rsidR="00734856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C15D7" w:rsidRPr="00CC15D7">
        <w:rPr>
          <w:rFonts w:asciiTheme="majorHAnsi" w:hAnsiTheme="majorHAnsi" w:cstheme="majorHAnsi"/>
          <w:bCs/>
          <w:sz w:val="20"/>
          <w:szCs w:val="20"/>
        </w:rPr>
        <w:t>methadone</w:t>
      </w:r>
      <w:r w:rsidR="00734856">
        <w:rPr>
          <w:rFonts w:asciiTheme="majorHAnsi" w:hAnsiTheme="majorHAnsi" w:cstheme="majorHAnsi"/>
          <w:bCs/>
          <w:sz w:val="20"/>
          <w:szCs w:val="20"/>
        </w:rPr>
        <w:t>.</w:t>
      </w:r>
    </w:p>
    <w:p w14:paraId="28C82911" w14:textId="2341D000" w:rsidR="00CC15D7" w:rsidRDefault="00CC15D7" w:rsidP="0019529A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Lincoln </w:t>
      </w:r>
      <w:r w:rsidR="00734856">
        <w:rPr>
          <w:rFonts w:asciiTheme="majorHAnsi" w:hAnsiTheme="majorHAnsi" w:cstheme="majorHAnsi"/>
          <w:b/>
          <w:sz w:val="20"/>
          <w:szCs w:val="20"/>
        </w:rPr>
        <w:t xml:space="preserve">Community Health </w:t>
      </w:r>
      <w:r>
        <w:rPr>
          <w:rFonts w:asciiTheme="majorHAnsi" w:hAnsiTheme="majorHAnsi" w:cstheme="majorHAnsi"/>
          <w:b/>
          <w:sz w:val="20"/>
          <w:szCs w:val="20"/>
        </w:rPr>
        <w:t>Center</w:t>
      </w:r>
      <w:r w:rsidR="00734856">
        <w:rPr>
          <w:rFonts w:asciiTheme="majorHAnsi" w:hAnsiTheme="majorHAnsi" w:cstheme="majorHAnsi"/>
          <w:b/>
          <w:sz w:val="20"/>
          <w:szCs w:val="20"/>
        </w:rPr>
        <w:t xml:space="preserve">: </w:t>
      </w:r>
      <w:r>
        <w:rPr>
          <w:rFonts w:asciiTheme="majorHAnsi" w:hAnsiTheme="majorHAnsi" w:cstheme="majorHAnsi"/>
          <w:bCs/>
          <w:sz w:val="20"/>
          <w:szCs w:val="20"/>
        </w:rPr>
        <w:t>Carolyn</w:t>
      </w:r>
      <w:r w:rsidR="00734856">
        <w:rPr>
          <w:rFonts w:asciiTheme="majorHAnsi" w:hAnsiTheme="majorHAnsi" w:cstheme="majorHAnsi"/>
          <w:bCs/>
          <w:sz w:val="20"/>
          <w:szCs w:val="20"/>
        </w:rPr>
        <w:t xml:space="preserve"> Crowder</w:t>
      </w:r>
      <w:r>
        <w:rPr>
          <w:rFonts w:asciiTheme="majorHAnsi" w:hAnsiTheme="majorHAnsi" w:cstheme="majorHAnsi"/>
          <w:bCs/>
          <w:sz w:val="20"/>
          <w:szCs w:val="20"/>
        </w:rPr>
        <w:t xml:space="preserve"> shared that they have been able to handle a</w:t>
      </w:r>
      <w:r w:rsidR="00734856">
        <w:rPr>
          <w:rFonts w:asciiTheme="majorHAnsi" w:hAnsiTheme="majorHAnsi" w:cstheme="majorHAnsi"/>
          <w:bCs/>
          <w:sz w:val="20"/>
          <w:szCs w:val="20"/>
        </w:rPr>
        <w:t>ll</w:t>
      </w:r>
      <w:r>
        <w:rPr>
          <w:rFonts w:asciiTheme="majorHAnsi" w:hAnsiTheme="majorHAnsi" w:cstheme="majorHAnsi"/>
          <w:bCs/>
          <w:sz w:val="20"/>
          <w:szCs w:val="20"/>
        </w:rPr>
        <w:t xml:space="preserve"> MAT referrals. They are currently looking for more waivered </w:t>
      </w:r>
      <w:r w:rsidR="00734856">
        <w:rPr>
          <w:rFonts w:asciiTheme="majorHAnsi" w:hAnsiTheme="majorHAnsi" w:cstheme="majorHAnsi"/>
          <w:bCs/>
          <w:sz w:val="20"/>
          <w:szCs w:val="20"/>
        </w:rPr>
        <w:t>p</w:t>
      </w:r>
      <w:r>
        <w:rPr>
          <w:rFonts w:asciiTheme="majorHAnsi" w:hAnsiTheme="majorHAnsi" w:cstheme="majorHAnsi"/>
          <w:bCs/>
          <w:sz w:val="20"/>
          <w:szCs w:val="20"/>
        </w:rPr>
        <w:t xml:space="preserve">roviders and looking to hire individuals as they continue to expand. </w:t>
      </w:r>
    </w:p>
    <w:p w14:paraId="44AC35F8" w14:textId="6D481C4D" w:rsidR="00EF6B51" w:rsidRDefault="00EF6B51" w:rsidP="0019529A">
      <w:pPr>
        <w:rPr>
          <w:rFonts w:asciiTheme="majorHAnsi" w:hAnsiTheme="majorHAnsi" w:cstheme="majorHAnsi"/>
          <w:bCs/>
          <w:sz w:val="20"/>
          <w:szCs w:val="20"/>
        </w:rPr>
      </w:pPr>
      <w:r w:rsidRPr="00EF6B51">
        <w:rPr>
          <w:rFonts w:asciiTheme="majorHAnsi" w:hAnsiTheme="majorHAnsi" w:cstheme="majorHAnsi"/>
          <w:b/>
          <w:sz w:val="20"/>
          <w:szCs w:val="20"/>
        </w:rPr>
        <w:t>Hope Cent</w:t>
      </w:r>
      <w:r w:rsidR="00D83A83">
        <w:rPr>
          <w:rFonts w:asciiTheme="majorHAnsi" w:hAnsiTheme="majorHAnsi" w:cstheme="majorHAnsi"/>
          <w:b/>
          <w:sz w:val="20"/>
          <w:szCs w:val="20"/>
        </w:rPr>
        <w:t>re</w:t>
      </w:r>
      <w:r w:rsidR="00734856">
        <w:rPr>
          <w:rFonts w:asciiTheme="majorHAnsi" w:hAnsiTheme="majorHAnsi" w:cstheme="majorHAnsi"/>
          <w:b/>
          <w:sz w:val="20"/>
          <w:szCs w:val="20"/>
        </w:rPr>
        <w:t xml:space="preserve">: </w:t>
      </w:r>
      <w:r>
        <w:rPr>
          <w:rFonts w:asciiTheme="majorHAnsi" w:hAnsiTheme="majorHAnsi" w:cstheme="majorHAnsi"/>
          <w:bCs/>
          <w:sz w:val="20"/>
          <w:szCs w:val="20"/>
        </w:rPr>
        <w:t xml:space="preserve">Ms. Cuttler shared that they are working with </w:t>
      </w:r>
      <w:proofErr w:type="gramStart"/>
      <w:r>
        <w:rPr>
          <w:rFonts w:asciiTheme="majorHAnsi" w:hAnsiTheme="majorHAnsi" w:cstheme="majorHAnsi"/>
          <w:bCs/>
          <w:sz w:val="20"/>
          <w:szCs w:val="20"/>
        </w:rPr>
        <w:t>HMO’s</w:t>
      </w:r>
      <w:proofErr w:type="gramEnd"/>
      <w:r>
        <w:rPr>
          <w:rFonts w:asciiTheme="majorHAnsi" w:hAnsiTheme="majorHAnsi" w:cstheme="majorHAnsi"/>
          <w:bCs/>
          <w:sz w:val="20"/>
          <w:szCs w:val="20"/>
        </w:rPr>
        <w:t xml:space="preserve"> to get cleared</w:t>
      </w:r>
      <w:r w:rsidR="00D83A83">
        <w:rPr>
          <w:rFonts w:asciiTheme="majorHAnsi" w:hAnsiTheme="majorHAnsi" w:cstheme="majorHAnsi"/>
          <w:bCs/>
          <w:sz w:val="20"/>
          <w:szCs w:val="20"/>
        </w:rPr>
        <w:t>.</w:t>
      </w:r>
      <w:r>
        <w:rPr>
          <w:rFonts w:asciiTheme="majorHAnsi" w:hAnsiTheme="majorHAnsi" w:cstheme="majorHAnsi"/>
          <w:bCs/>
          <w:sz w:val="20"/>
          <w:szCs w:val="20"/>
        </w:rPr>
        <w:t xml:space="preserve"> They continue to move along and are always open for referrals. </w:t>
      </w:r>
    </w:p>
    <w:p w14:paraId="1264D0AA" w14:textId="0E497986" w:rsidR="00EF6B51" w:rsidRPr="00734856" w:rsidRDefault="00EF6B51" w:rsidP="0019529A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734856">
        <w:rPr>
          <w:rFonts w:asciiTheme="majorHAnsi" w:hAnsiTheme="majorHAnsi" w:cstheme="majorHAnsi"/>
          <w:b/>
          <w:sz w:val="20"/>
          <w:szCs w:val="20"/>
          <w:u w:val="single"/>
        </w:rPr>
        <w:t>Opioid Settlement Funding</w:t>
      </w:r>
    </w:p>
    <w:p w14:paraId="33C7BE0E" w14:textId="3DC0C792" w:rsidR="00EF6B51" w:rsidRDefault="00EF6B51" w:rsidP="0019529A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Carlyle shared that he has been talking with several counties who are interested in Jail Based MOUD and has urged them to reach out to Durham as </w:t>
      </w:r>
      <w:r w:rsidR="00734856">
        <w:rPr>
          <w:rFonts w:asciiTheme="majorHAnsi" w:hAnsiTheme="majorHAnsi" w:cstheme="majorHAnsi"/>
          <w:bCs/>
          <w:sz w:val="20"/>
          <w:szCs w:val="20"/>
        </w:rPr>
        <w:t>Durham</w:t>
      </w:r>
      <w:r>
        <w:rPr>
          <w:rFonts w:asciiTheme="majorHAnsi" w:hAnsiTheme="majorHAnsi" w:cstheme="majorHAnsi"/>
          <w:bCs/>
          <w:sz w:val="20"/>
          <w:szCs w:val="20"/>
        </w:rPr>
        <w:t xml:space="preserve"> ha</w:t>
      </w:r>
      <w:r w:rsidR="00734856">
        <w:rPr>
          <w:rFonts w:asciiTheme="majorHAnsi" w:hAnsiTheme="majorHAnsi" w:cstheme="majorHAnsi"/>
          <w:bCs/>
          <w:sz w:val="20"/>
          <w:szCs w:val="20"/>
        </w:rPr>
        <w:t>s</w:t>
      </w:r>
      <w:r>
        <w:rPr>
          <w:rFonts w:asciiTheme="majorHAnsi" w:hAnsiTheme="majorHAnsi" w:cstheme="majorHAnsi"/>
          <w:bCs/>
          <w:sz w:val="20"/>
          <w:szCs w:val="20"/>
        </w:rPr>
        <w:t xml:space="preserve"> a functioning system. Carlyle shared that Durham </w:t>
      </w:r>
      <w:r w:rsidR="00734856">
        <w:rPr>
          <w:rFonts w:asciiTheme="majorHAnsi" w:hAnsiTheme="majorHAnsi" w:cstheme="majorHAnsi"/>
          <w:bCs/>
          <w:sz w:val="20"/>
          <w:szCs w:val="20"/>
        </w:rPr>
        <w:t xml:space="preserve">County </w:t>
      </w:r>
      <w:r>
        <w:rPr>
          <w:rFonts w:asciiTheme="majorHAnsi" w:hAnsiTheme="majorHAnsi" w:cstheme="majorHAnsi"/>
          <w:bCs/>
          <w:sz w:val="20"/>
          <w:szCs w:val="20"/>
        </w:rPr>
        <w:t>still ha</w:t>
      </w:r>
      <w:r w:rsidR="00734856">
        <w:rPr>
          <w:rFonts w:asciiTheme="majorHAnsi" w:hAnsiTheme="majorHAnsi" w:cstheme="majorHAnsi"/>
          <w:bCs/>
          <w:sz w:val="20"/>
          <w:szCs w:val="20"/>
        </w:rPr>
        <w:t>s</w:t>
      </w:r>
      <w:r>
        <w:rPr>
          <w:rFonts w:asciiTheme="majorHAnsi" w:hAnsiTheme="majorHAnsi" w:cstheme="majorHAnsi"/>
          <w:bCs/>
          <w:sz w:val="20"/>
          <w:szCs w:val="20"/>
        </w:rPr>
        <w:t xml:space="preserve"> a pending </w:t>
      </w:r>
      <w:r w:rsidR="00734856">
        <w:rPr>
          <w:rFonts w:asciiTheme="majorHAnsi" w:hAnsiTheme="majorHAnsi" w:cstheme="majorHAnsi"/>
          <w:bCs/>
          <w:sz w:val="20"/>
          <w:szCs w:val="20"/>
        </w:rPr>
        <w:t>law</w:t>
      </w:r>
      <w:r>
        <w:rPr>
          <w:rFonts w:asciiTheme="majorHAnsi" w:hAnsiTheme="majorHAnsi" w:cstheme="majorHAnsi"/>
          <w:bCs/>
          <w:sz w:val="20"/>
          <w:szCs w:val="20"/>
        </w:rPr>
        <w:t xml:space="preserve">suit against retail pharmacy chains and is anxiously awaiting additional information on settlement funding. </w:t>
      </w:r>
    </w:p>
    <w:p w14:paraId="14EDD4CF" w14:textId="790FBBC3" w:rsidR="00EF6B51" w:rsidRDefault="00EF6B51" w:rsidP="0019529A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Gudrun shared that the </w:t>
      </w:r>
      <w:r w:rsidR="00D83A83">
        <w:rPr>
          <w:rFonts w:asciiTheme="majorHAnsi" w:hAnsiTheme="majorHAnsi" w:cstheme="majorHAnsi"/>
          <w:bCs/>
          <w:sz w:val="20"/>
          <w:szCs w:val="20"/>
        </w:rPr>
        <w:t>C</w:t>
      </w:r>
      <w:r>
        <w:rPr>
          <w:rFonts w:asciiTheme="majorHAnsi" w:hAnsiTheme="majorHAnsi" w:cstheme="majorHAnsi"/>
          <w:bCs/>
          <w:sz w:val="20"/>
          <w:szCs w:val="20"/>
        </w:rPr>
        <w:t>ity</w:t>
      </w:r>
      <w:r w:rsidR="00D83A83">
        <w:rPr>
          <w:rFonts w:asciiTheme="majorHAnsi" w:hAnsiTheme="majorHAnsi" w:cstheme="majorHAnsi"/>
          <w:bCs/>
          <w:sz w:val="20"/>
          <w:szCs w:val="20"/>
        </w:rPr>
        <w:t xml:space="preserve"> of Durham</w:t>
      </w:r>
      <w:r>
        <w:rPr>
          <w:rFonts w:asciiTheme="majorHAnsi" w:hAnsiTheme="majorHAnsi" w:cstheme="majorHAnsi"/>
          <w:bCs/>
          <w:sz w:val="20"/>
          <w:szCs w:val="20"/>
        </w:rPr>
        <w:t xml:space="preserve"> has chosen not to join with the County on</w:t>
      </w:r>
      <w:r w:rsidR="00D83A83">
        <w:rPr>
          <w:rFonts w:asciiTheme="majorHAnsi" w:hAnsiTheme="majorHAnsi" w:cstheme="majorHAnsi"/>
          <w:bCs/>
          <w:sz w:val="20"/>
          <w:szCs w:val="20"/>
        </w:rPr>
        <w:t xml:space="preserve"> a joint</w:t>
      </w:r>
      <w:r>
        <w:rPr>
          <w:rFonts w:asciiTheme="majorHAnsi" w:hAnsiTheme="majorHAnsi" w:cstheme="majorHAnsi"/>
          <w:bCs/>
          <w:sz w:val="20"/>
          <w:szCs w:val="20"/>
        </w:rPr>
        <w:t xml:space="preserve"> funding</w:t>
      </w:r>
      <w:r w:rsidR="00D83A83">
        <w:rPr>
          <w:rFonts w:asciiTheme="majorHAnsi" w:hAnsiTheme="majorHAnsi" w:cstheme="majorHAnsi"/>
          <w:bCs/>
          <w:sz w:val="20"/>
          <w:szCs w:val="20"/>
        </w:rPr>
        <w:t xml:space="preserve"> plan</w:t>
      </w:r>
      <w:r>
        <w:rPr>
          <w:rFonts w:asciiTheme="majorHAnsi" w:hAnsiTheme="majorHAnsi" w:cstheme="majorHAnsi"/>
          <w:bCs/>
          <w:sz w:val="20"/>
          <w:szCs w:val="20"/>
        </w:rPr>
        <w:t>. The County Manager</w:t>
      </w:r>
      <w:r w:rsidR="00D83A83">
        <w:rPr>
          <w:rFonts w:asciiTheme="majorHAnsi" w:hAnsiTheme="majorHAnsi" w:cstheme="majorHAnsi"/>
          <w:bCs/>
          <w:sz w:val="20"/>
          <w:szCs w:val="20"/>
        </w:rPr>
        <w:t xml:space="preserve"> will</w:t>
      </w:r>
      <w:r>
        <w:rPr>
          <w:rFonts w:asciiTheme="majorHAnsi" w:hAnsiTheme="majorHAnsi" w:cstheme="majorHAnsi"/>
          <w:bCs/>
          <w:sz w:val="20"/>
          <w:szCs w:val="20"/>
        </w:rPr>
        <w:t xml:space="preserve"> bring a </w:t>
      </w:r>
      <w:r w:rsidR="00D83A83">
        <w:rPr>
          <w:rFonts w:asciiTheme="majorHAnsi" w:hAnsiTheme="majorHAnsi" w:cstheme="majorHAnsi"/>
          <w:bCs/>
          <w:sz w:val="20"/>
          <w:szCs w:val="20"/>
        </w:rPr>
        <w:t>framework to</w:t>
      </w:r>
      <w:r>
        <w:rPr>
          <w:rFonts w:asciiTheme="majorHAnsi" w:hAnsiTheme="majorHAnsi" w:cstheme="majorHAnsi"/>
          <w:bCs/>
          <w:sz w:val="20"/>
          <w:szCs w:val="20"/>
        </w:rPr>
        <w:t xml:space="preserve"> the </w:t>
      </w:r>
      <w:r w:rsidR="00D83A83">
        <w:rPr>
          <w:rFonts w:asciiTheme="majorHAnsi" w:hAnsiTheme="majorHAnsi" w:cstheme="majorHAnsi"/>
          <w:bCs/>
          <w:sz w:val="20"/>
          <w:szCs w:val="20"/>
        </w:rPr>
        <w:t>BOCC</w:t>
      </w:r>
      <w:r>
        <w:rPr>
          <w:rFonts w:asciiTheme="majorHAnsi" w:hAnsiTheme="majorHAnsi" w:cstheme="majorHAnsi"/>
          <w:bCs/>
          <w:sz w:val="20"/>
          <w:szCs w:val="20"/>
        </w:rPr>
        <w:t xml:space="preserve"> in September. This plan mirrors Wake County in many ways. The </w:t>
      </w: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County also has the chance for additional funding in reference to the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Bellweather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case</w:t>
      </w:r>
      <w:r w:rsidR="00D83A83">
        <w:rPr>
          <w:rFonts w:asciiTheme="majorHAnsi" w:hAnsiTheme="majorHAnsi" w:cstheme="majorHAnsi"/>
          <w:bCs/>
          <w:sz w:val="20"/>
          <w:szCs w:val="20"/>
        </w:rPr>
        <w:t>,</w:t>
      </w:r>
      <w:r>
        <w:rPr>
          <w:rFonts w:asciiTheme="majorHAnsi" w:hAnsiTheme="majorHAnsi" w:cstheme="majorHAnsi"/>
          <w:bCs/>
          <w:sz w:val="20"/>
          <w:szCs w:val="20"/>
        </w:rPr>
        <w:t xml:space="preserve"> but this </w:t>
      </w:r>
      <w:r w:rsidR="00D83A83">
        <w:rPr>
          <w:rFonts w:asciiTheme="majorHAnsi" w:hAnsiTheme="majorHAnsi" w:cstheme="majorHAnsi"/>
          <w:bCs/>
          <w:sz w:val="20"/>
          <w:szCs w:val="20"/>
        </w:rPr>
        <w:t xml:space="preserve">may be </w:t>
      </w:r>
      <w:r>
        <w:rPr>
          <w:rFonts w:asciiTheme="majorHAnsi" w:hAnsiTheme="majorHAnsi" w:cstheme="majorHAnsi"/>
          <w:bCs/>
          <w:sz w:val="20"/>
          <w:szCs w:val="20"/>
        </w:rPr>
        <w:t>years in the future.</w:t>
      </w:r>
    </w:p>
    <w:p w14:paraId="5B4281BF" w14:textId="46C9F1A9" w:rsidR="00CC15D7" w:rsidRPr="00D83A83" w:rsidRDefault="00CC15D7" w:rsidP="0019529A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83A83">
        <w:rPr>
          <w:rFonts w:asciiTheme="majorHAnsi" w:hAnsiTheme="majorHAnsi" w:cstheme="majorHAnsi"/>
          <w:b/>
          <w:sz w:val="20"/>
          <w:szCs w:val="20"/>
          <w:u w:val="single"/>
        </w:rPr>
        <w:t>Announcements</w:t>
      </w:r>
    </w:p>
    <w:p w14:paraId="3C54C936" w14:textId="778D4E2B" w:rsidR="00A02CD0" w:rsidRPr="00CC15D7" w:rsidRDefault="00CC15D7" w:rsidP="0019529A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Dr. Greenblatt shared that </w:t>
      </w:r>
      <w:r w:rsidR="00EF6B51">
        <w:rPr>
          <w:rFonts w:asciiTheme="majorHAnsi" w:hAnsiTheme="majorHAnsi" w:cstheme="majorHAnsi"/>
          <w:bCs/>
          <w:sz w:val="20"/>
          <w:szCs w:val="20"/>
        </w:rPr>
        <w:t xml:space="preserve">he has been </w:t>
      </w:r>
      <w:r w:rsidR="00D83A83">
        <w:rPr>
          <w:rFonts w:asciiTheme="majorHAnsi" w:hAnsiTheme="majorHAnsi" w:cstheme="majorHAnsi"/>
          <w:bCs/>
          <w:sz w:val="20"/>
          <w:szCs w:val="20"/>
        </w:rPr>
        <w:t>i</w:t>
      </w:r>
      <w:r w:rsidR="00EF6B51">
        <w:rPr>
          <w:rFonts w:asciiTheme="majorHAnsi" w:hAnsiTheme="majorHAnsi" w:cstheme="majorHAnsi"/>
          <w:bCs/>
          <w:sz w:val="20"/>
          <w:szCs w:val="20"/>
        </w:rPr>
        <w:t xml:space="preserve">n contact with a researcher at DUKE in reference to </w:t>
      </w:r>
      <w:proofErr w:type="spellStart"/>
      <w:r w:rsidR="00D83A83">
        <w:rPr>
          <w:rFonts w:asciiTheme="majorHAnsi" w:hAnsiTheme="majorHAnsi" w:cstheme="majorHAnsi"/>
          <w:bCs/>
          <w:sz w:val="20"/>
          <w:szCs w:val="20"/>
        </w:rPr>
        <w:t>S</w:t>
      </w:r>
      <w:r w:rsidR="00EF6B51">
        <w:rPr>
          <w:rFonts w:asciiTheme="majorHAnsi" w:hAnsiTheme="majorHAnsi" w:cstheme="majorHAnsi"/>
          <w:bCs/>
          <w:sz w:val="20"/>
          <w:szCs w:val="20"/>
        </w:rPr>
        <w:t>ublicade</w:t>
      </w:r>
      <w:proofErr w:type="spellEnd"/>
      <w:r w:rsidR="00EF6B51">
        <w:rPr>
          <w:rFonts w:asciiTheme="majorHAnsi" w:hAnsiTheme="majorHAnsi" w:cstheme="majorHAnsi"/>
          <w:bCs/>
          <w:sz w:val="20"/>
          <w:szCs w:val="20"/>
        </w:rPr>
        <w:t xml:space="preserve"> (injectable). They are looking for participants to receive treatment for 6</w:t>
      </w:r>
      <w:r w:rsidR="00D83A8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F6B51">
        <w:rPr>
          <w:rFonts w:asciiTheme="majorHAnsi" w:hAnsiTheme="majorHAnsi" w:cstheme="majorHAnsi"/>
          <w:bCs/>
          <w:sz w:val="20"/>
          <w:szCs w:val="20"/>
        </w:rPr>
        <w:t xml:space="preserve">months at no cost. This will come with a monetary incentive. Please reach out to Dr. Greenblatt for additional information and to connect with the program. </w:t>
      </w:r>
    </w:p>
    <w:p w14:paraId="73AB8C4F" w14:textId="02FCAC54" w:rsidR="00222226" w:rsidRDefault="0019529A" w:rsidP="002C7E2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8256C">
        <w:rPr>
          <w:rFonts w:asciiTheme="majorHAnsi" w:hAnsiTheme="majorHAnsi" w:cstheme="majorHAnsi"/>
          <w:sz w:val="20"/>
          <w:szCs w:val="20"/>
        </w:rPr>
        <w:tab/>
      </w:r>
    </w:p>
    <w:p w14:paraId="0F22D860" w14:textId="77777777" w:rsidR="00222226" w:rsidRDefault="00222226" w:rsidP="002C7E2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91A1F45" w14:textId="6DA8BA65" w:rsidR="0019529A" w:rsidRPr="0048256C" w:rsidRDefault="00222226" w:rsidP="002C7E2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meeting adjourned at 4:32pm</w:t>
      </w:r>
      <w:r w:rsidR="0019529A" w:rsidRPr="0048256C">
        <w:rPr>
          <w:rFonts w:asciiTheme="majorHAnsi" w:hAnsiTheme="majorHAnsi" w:cstheme="majorHAnsi"/>
          <w:sz w:val="20"/>
          <w:szCs w:val="20"/>
        </w:rPr>
        <w:tab/>
      </w:r>
      <w:r w:rsidR="0019529A" w:rsidRPr="0048256C">
        <w:rPr>
          <w:rFonts w:asciiTheme="majorHAnsi" w:hAnsiTheme="majorHAnsi" w:cstheme="majorHAnsi"/>
          <w:sz w:val="20"/>
          <w:szCs w:val="20"/>
        </w:rPr>
        <w:tab/>
      </w:r>
      <w:r w:rsidR="0019529A" w:rsidRPr="0048256C">
        <w:rPr>
          <w:rFonts w:asciiTheme="majorHAnsi" w:hAnsiTheme="majorHAnsi" w:cstheme="majorHAnsi"/>
          <w:sz w:val="20"/>
          <w:szCs w:val="20"/>
        </w:rPr>
        <w:tab/>
      </w:r>
      <w:r w:rsidR="0019529A" w:rsidRPr="0048256C">
        <w:rPr>
          <w:rFonts w:asciiTheme="majorHAnsi" w:hAnsiTheme="majorHAnsi" w:cstheme="majorHAnsi"/>
          <w:sz w:val="20"/>
          <w:szCs w:val="20"/>
        </w:rPr>
        <w:tab/>
      </w:r>
      <w:r w:rsidR="0019529A" w:rsidRPr="0048256C">
        <w:rPr>
          <w:rFonts w:asciiTheme="majorHAnsi" w:hAnsiTheme="majorHAnsi" w:cstheme="majorHAnsi"/>
          <w:sz w:val="20"/>
          <w:szCs w:val="20"/>
        </w:rPr>
        <w:tab/>
      </w:r>
      <w:r w:rsidR="0019529A" w:rsidRPr="0048256C">
        <w:rPr>
          <w:rFonts w:asciiTheme="majorHAnsi" w:hAnsiTheme="majorHAnsi" w:cstheme="majorHAnsi"/>
          <w:sz w:val="20"/>
          <w:szCs w:val="20"/>
        </w:rPr>
        <w:br/>
      </w:r>
    </w:p>
    <w:p w14:paraId="6A2E5076" w14:textId="77777777" w:rsidR="0019529A" w:rsidRPr="0048256C" w:rsidRDefault="0019529A" w:rsidP="0019529A">
      <w:pPr>
        <w:spacing w:after="0" w:line="240" w:lineRule="auto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14:paraId="0DD1BA21" w14:textId="7D03A3D8" w:rsidR="0019529A" w:rsidRPr="0048256C" w:rsidRDefault="0019529A" w:rsidP="0019529A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8256C">
        <w:rPr>
          <w:rFonts w:asciiTheme="majorHAnsi" w:hAnsiTheme="majorHAnsi" w:cstheme="majorHAnsi"/>
          <w:b/>
          <w:color w:val="FF0000"/>
          <w:sz w:val="20"/>
          <w:szCs w:val="20"/>
        </w:rPr>
        <w:t>*Next Meeting:</w:t>
      </w:r>
      <w:r w:rsidRPr="0048256C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48256C">
        <w:rPr>
          <w:rFonts w:asciiTheme="majorHAnsi" w:hAnsiTheme="majorHAnsi" w:cstheme="majorHAnsi"/>
          <w:b/>
          <w:sz w:val="20"/>
          <w:szCs w:val="20"/>
        </w:rPr>
        <w:t xml:space="preserve">Tuesday, September 13, </w:t>
      </w:r>
      <w:proofErr w:type="gramStart"/>
      <w:r w:rsidRPr="0048256C">
        <w:rPr>
          <w:rFonts w:asciiTheme="majorHAnsi" w:hAnsiTheme="majorHAnsi" w:cstheme="majorHAnsi"/>
          <w:b/>
          <w:sz w:val="20"/>
          <w:szCs w:val="20"/>
        </w:rPr>
        <w:t>2022</w:t>
      </w:r>
      <w:proofErr w:type="gramEnd"/>
      <w:r w:rsidRPr="0048256C">
        <w:rPr>
          <w:rFonts w:asciiTheme="majorHAnsi" w:hAnsiTheme="majorHAnsi" w:cstheme="majorHAnsi"/>
          <w:b/>
          <w:sz w:val="20"/>
          <w:szCs w:val="20"/>
        </w:rPr>
        <w:t xml:space="preserve"> from 3:00 PM - 4:30 PM</w:t>
      </w:r>
    </w:p>
    <w:p w14:paraId="41DE2FBF" w14:textId="77777777" w:rsidR="0019529A" w:rsidRPr="0019529A" w:rsidRDefault="0019529A" w:rsidP="00195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E028704" w14:textId="77777777" w:rsidR="0019529A" w:rsidRPr="0019529A" w:rsidRDefault="0019529A" w:rsidP="0019529A">
      <w:pPr>
        <w:rPr>
          <w:rFonts w:asciiTheme="majorHAnsi" w:hAnsiTheme="majorHAnsi" w:cstheme="majorHAnsi"/>
          <w:sz w:val="24"/>
          <w:szCs w:val="24"/>
        </w:rPr>
      </w:pPr>
    </w:p>
    <w:p w14:paraId="0F818A71" w14:textId="594AF1BC" w:rsidR="00E77CA8" w:rsidRPr="0019529A" w:rsidRDefault="00D9228C" w:rsidP="0019529A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B288CFE" w14:textId="77777777" w:rsidR="0019529A" w:rsidRPr="0048256C" w:rsidRDefault="0019529A" w:rsidP="0019529A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sectPr w:rsidR="0019529A" w:rsidRPr="0048256C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6F3DCA"/>
    <w:multiLevelType w:val="hybridMultilevel"/>
    <w:tmpl w:val="7BC4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33A6"/>
    <w:multiLevelType w:val="hybridMultilevel"/>
    <w:tmpl w:val="7D8CEFDC"/>
    <w:lvl w:ilvl="0" w:tplc="AB509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FF0E0C"/>
    <w:multiLevelType w:val="hybridMultilevel"/>
    <w:tmpl w:val="31C6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2040"/>
    <w:multiLevelType w:val="hybridMultilevel"/>
    <w:tmpl w:val="02D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118D6"/>
    <w:multiLevelType w:val="hybridMultilevel"/>
    <w:tmpl w:val="FA8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2998">
    <w:abstractNumId w:val="2"/>
  </w:num>
  <w:num w:numId="2" w16cid:durableId="824853522">
    <w:abstractNumId w:val="0"/>
  </w:num>
  <w:num w:numId="3" w16cid:durableId="963466852">
    <w:abstractNumId w:val="3"/>
  </w:num>
  <w:num w:numId="4" w16cid:durableId="135152387">
    <w:abstractNumId w:val="7"/>
  </w:num>
  <w:num w:numId="5" w16cid:durableId="1619601520">
    <w:abstractNumId w:val="1"/>
  </w:num>
  <w:num w:numId="6" w16cid:durableId="1468089857">
    <w:abstractNumId w:val="5"/>
  </w:num>
  <w:num w:numId="7" w16cid:durableId="605233823">
    <w:abstractNumId w:val="4"/>
  </w:num>
  <w:num w:numId="8" w16cid:durableId="1375698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B5"/>
    <w:rsid w:val="00026D75"/>
    <w:rsid w:val="00052E62"/>
    <w:rsid w:val="00064B52"/>
    <w:rsid w:val="00071B02"/>
    <w:rsid w:val="000A24FE"/>
    <w:rsid w:val="000E2E38"/>
    <w:rsid w:val="0012041F"/>
    <w:rsid w:val="0012765B"/>
    <w:rsid w:val="00147389"/>
    <w:rsid w:val="00172AB9"/>
    <w:rsid w:val="0019250E"/>
    <w:rsid w:val="00192EE5"/>
    <w:rsid w:val="0019354F"/>
    <w:rsid w:val="00193E02"/>
    <w:rsid w:val="0019529A"/>
    <w:rsid w:val="001C2B72"/>
    <w:rsid w:val="001F0241"/>
    <w:rsid w:val="0021347F"/>
    <w:rsid w:val="00217016"/>
    <w:rsid w:val="00222226"/>
    <w:rsid w:val="00246642"/>
    <w:rsid w:val="0024688B"/>
    <w:rsid w:val="00273410"/>
    <w:rsid w:val="002909B2"/>
    <w:rsid w:val="002A5BA8"/>
    <w:rsid w:val="002C7E22"/>
    <w:rsid w:val="002F5F76"/>
    <w:rsid w:val="003219DA"/>
    <w:rsid w:val="00340CB5"/>
    <w:rsid w:val="00352727"/>
    <w:rsid w:val="00361142"/>
    <w:rsid w:val="003637EC"/>
    <w:rsid w:val="0038771E"/>
    <w:rsid w:val="003B0822"/>
    <w:rsid w:val="003B609B"/>
    <w:rsid w:val="003B6CC4"/>
    <w:rsid w:val="00461C5B"/>
    <w:rsid w:val="00470C89"/>
    <w:rsid w:val="0048256C"/>
    <w:rsid w:val="004B4BFB"/>
    <w:rsid w:val="00581814"/>
    <w:rsid w:val="00587997"/>
    <w:rsid w:val="0059332F"/>
    <w:rsid w:val="005A0C6D"/>
    <w:rsid w:val="005C38D9"/>
    <w:rsid w:val="00612551"/>
    <w:rsid w:val="00623DEE"/>
    <w:rsid w:val="006404E8"/>
    <w:rsid w:val="006506A9"/>
    <w:rsid w:val="00656625"/>
    <w:rsid w:val="00681567"/>
    <w:rsid w:val="00712AF0"/>
    <w:rsid w:val="00734856"/>
    <w:rsid w:val="00740B87"/>
    <w:rsid w:val="0076654E"/>
    <w:rsid w:val="00771C56"/>
    <w:rsid w:val="00786B57"/>
    <w:rsid w:val="007B0126"/>
    <w:rsid w:val="007D58AF"/>
    <w:rsid w:val="007F5CB3"/>
    <w:rsid w:val="00801BB0"/>
    <w:rsid w:val="00821AA4"/>
    <w:rsid w:val="0082755E"/>
    <w:rsid w:val="00860BD5"/>
    <w:rsid w:val="0086479D"/>
    <w:rsid w:val="008708FF"/>
    <w:rsid w:val="0088581A"/>
    <w:rsid w:val="008E65CD"/>
    <w:rsid w:val="008F138B"/>
    <w:rsid w:val="00917BC1"/>
    <w:rsid w:val="009668FD"/>
    <w:rsid w:val="00983028"/>
    <w:rsid w:val="009B2172"/>
    <w:rsid w:val="00A02CD0"/>
    <w:rsid w:val="00A234BB"/>
    <w:rsid w:val="00A33A57"/>
    <w:rsid w:val="00A42491"/>
    <w:rsid w:val="00AA4791"/>
    <w:rsid w:val="00AA7FFE"/>
    <w:rsid w:val="00AB7114"/>
    <w:rsid w:val="00AD7C51"/>
    <w:rsid w:val="00B06AD4"/>
    <w:rsid w:val="00B254EC"/>
    <w:rsid w:val="00B364E2"/>
    <w:rsid w:val="00B9689C"/>
    <w:rsid w:val="00BA4DD4"/>
    <w:rsid w:val="00BB5B3E"/>
    <w:rsid w:val="00BB6517"/>
    <w:rsid w:val="00BC02BD"/>
    <w:rsid w:val="00BC6DEF"/>
    <w:rsid w:val="00BE39B1"/>
    <w:rsid w:val="00BE5AB2"/>
    <w:rsid w:val="00BF2927"/>
    <w:rsid w:val="00BF3016"/>
    <w:rsid w:val="00C128D9"/>
    <w:rsid w:val="00C24B5A"/>
    <w:rsid w:val="00C2652E"/>
    <w:rsid w:val="00C514C9"/>
    <w:rsid w:val="00CB6866"/>
    <w:rsid w:val="00CC15D7"/>
    <w:rsid w:val="00D345E0"/>
    <w:rsid w:val="00D83A83"/>
    <w:rsid w:val="00D9228C"/>
    <w:rsid w:val="00E14ADF"/>
    <w:rsid w:val="00E50898"/>
    <w:rsid w:val="00E55DCF"/>
    <w:rsid w:val="00E75B8F"/>
    <w:rsid w:val="00E95C49"/>
    <w:rsid w:val="00ED0998"/>
    <w:rsid w:val="00EF6B51"/>
    <w:rsid w:val="00F70DD5"/>
    <w:rsid w:val="00F92F11"/>
    <w:rsid w:val="00F9554D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1535"/>
  <w15:chartTrackingRefBased/>
  <w15:docId w15:val="{39ED4FCE-29D0-43BF-8429-8F9128F9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D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9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Waggy, Kelley</dc:creator>
  <cp:keywords/>
  <dc:description/>
  <cp:lastModifiedBy>Scofield, Lacie F.</cp:lastModifiedBy>
  <cp:revision>2</cp:revision>
  <dcterms:created xsi:type="dcterms:W3CDTF">2023-03-02T20:06:00Z</dcterms:created>
  <dcterms:modified xsi:type="dcterms:W3CDTF">2023-03-02T20:06:00Z</dcterms:modified>
</cp:coreProperties>
</file>